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default" w:eastAsia="华文仿宋"/>
          <w:sz w:val="40"/>
          <w:szCs w:val="24"/>
          <w:lang w:val="en-US" w:eastAsia="zh-CN"/>
        </w:rPr>
      </w:pPr>
      <w:bookmarkStart w:id="0" w:name="_Toc6696"/>
      <w:r>
        <w:rPr>
          <w:rFonts w:hint="eastAsia"/>
          <w:sz w:val="40"/>
          <w:szCs w:val="24"/>
          <w:lang w:val="en-US" w:eastAsia="zh-CN"/>
        </w:rPr>
        <w:t>采购需求</w:t>
      </w:r>
    </w:p>
    <w:p>
      <w:pPr>
        <w:pStyle w:val="4"/>
      </w:pPr>
      <w:r>
        <w:rPr>
          <w:rFonts w:hint="eastAsia"/>
        </w:rPr>
        <w:t>一、</w:t>
      </w:r>
      <w:r>
        <w:rPr>
          <w:rFonts w:hint="eastAsia"/>
          <w:lang w:val="en-US" w:eastAsia="zh-CN"/>
        </w:rPr>
        <w:t>变更</w:t>
      </w:r>
      <w:r>
        <w:rPr>
          <w:rFonts w:hint="eastAsia"/>
        </w:rPr>
        <w:t>概况</w:t>
      </w:r>
      <w:bookmarkEnd w:id="0"/>
    </w:p>
    <w:p>
      <w:pPr>
        <w:pStyle w:val="9"/>
        <w:ind w:firstLine="482"/>
        <w:rPr>
          <w:rFonts w:hint="default"/>
          <w:lang w:val="en-US" w:eastAsia="zh-CN"/>
        </w:rPr>
      </w:pPr>
      <w:r>
        <w:rPr>
          <w:rFonts w:hint="eastAsia"/>
        </w:rPr>
        <w:t>本次溪毛线拓宽改造，该段受永久农田限制，路线无法避绕，需开挖老路左侧边坡，开挖至坡脚。目前滑坡体坡面已开挖至抗滑挡墙顶，边坡、支撑渗沟、第二级坡面方格骨架已基本完成，剩余下级方格骨架和坡脚抗滑挡墙尚未施工，2025年3月中旬，当地突发暴雨，坡面监测开始出现异常超限，雨停后监测指标又逐步恢复正常，然3月后雨水多发，遇雨水天气边坡监测位移即超限，初期降雨后坡面出现渗水，经调查雨天发现K6+570坡顶、原拉张裂缝外出现一冲沟，径流灌入坡顶原拉张裂缝，消失于地表，随后坡顶外约20m处出现裂缝，紧接着K6+570处支撑渗沟顶平台拱起，上级坡面出现外鼓形成滑坡鼓丘，部分骨架防护被拉裂，至7月上旬，坡顶最大累计水平位移约1016mm、竖向位移-586mm，为保证该滑坡体的安全稳定，急需对其进一步紧急加固。</w:t>
      </w:r>
      <w:r>
        <w:rPr>
          <w:rFonts w:hint="eastAsia"/>
          <w:lang w:val="en-US" w:eastAsia="zh-CN"/>
        </w:rPr>
        <w:t>故对K6+430～K6+650滑坡体处治，具体方案：</w:t>
      </w:r>
    </w:p>
    <w:p>
      <w:pPr>
        <w:pStyle w:val="9"/>
        <w:ind w:firstLine="482"/>
        <w:rPr>
          <w:rFonts w:hint="default"/>
          <w:lang w:val="en-US" w:eastAsia="zh-CN"/>
        </w:rPr>
      </w:pPr>
      <w:r>
        <w:rPr>
          <w:rFonts w:hint="default"/>
          <w:lang w:val="en-US" w:eastAsia="zh-CN"/>
        </w:rPr>
        <w:t>①开挖卸载，将顶上最后一级边坡以1</w:t>
      </w:r>
      <w:r>
        <w:rPr>
          <w:rFonts w:hint="eastAsia"/>
          <w:lang w:val="en-US" w:eastAsia="zh-CN"/>
        </w:rPr>
        <w:t>:</w:t>
      </w:r>
      <w:r>
        <w:rPr>
          <w:rFonts w:hint="default"/>
          <w:lang w:val="en-US" w:eastAsia="zh-CN"/>
        </w:rPr>
        <w:t>2的坡率，向外开挖推移8m，使中间平台拓宽至10m，同时为抗滑桩实施提供空间。</w:t>
      </w:r>
    </w:p>
    <w:p>
      <w:pPr>
        <w:pStyle w:val="9"/>
        <w:ind w:firstLine="482"/>
        <w:rPr>
          <w:rFonts w:hint="default"/>
          <w:lang w:val="en-US" w:eastAsia="zh-CN"/>
        </w:rPr>
      </w:pPr>
      <w:r>
        <w:rPr>
          <w:rFonts w:hint="default"/>
          <w:lang w:val="en-US" w:eastAsia="zh-CN"/>
        </w:rPr>
        <w:t>②坡面防护及设施恢复，坡面采用高次团粒植被防护，同时以C25混凝土现浇恢复K6+600处跌水、K6+520-K6+640段坡顶截水沟，以及应急处理过程中在平台上方打设的仰斜式泄水孔。</w:t>
      </w:r>
    </w:p>
    <w:p>
      <w:pPr>
        <w:pStyle w:val="9"/>
        <w:ind w:firstLine="482"/>
        <w:rPr>
          <w:rFonts w:hint="default"/>
          <w:lang w:val="en-US" w:eastAsia="zh-CN"/>
        </w:rPr>
      </w:pPr>
      <w:r>
        <w:rPr>
          <w:rFonts w:hint="default"/>
          <w:lang w:val="en-US" w:eastAsia="zh-CN"/>
        </w:rPr>
        <w:t>③支撑加固，在平台内边线外2m、7m各设置一排圆形抗滑桩，桩径2.0m，桩间距5.0m，桩长20m，桩体采用C40钢筋砼，桩间采用系梁连接，梁体采用C40钢筋砼，双桩组合为门型。</w:t>
      </w:r>
    </w:p>
    <w:p>
      <w:pPr>
        <w:pStyle w:val="9"/>
        <w:ind w:firstLine="482"/>
        <w:rPr>
          <w:rFonts w:hint="default"/>
          <w:lang w:val="en-US" w:eastAsia="zh-CN"/>
        </w:rPr>
      </w:pPr>
      <w:r>
        <w:rPr>
          <w:rFonts w:hint="default"/>
          <w:lang w:val="en-US" w:eastAsia="zh-CN"/>
        </w:rPr>
        <w:t>④平台截水沟恢复，在第一排抗滑桩系梁外恢复平台截水沟，并与原有排水系统衔接。</w:t>
      </w:r>
    </w:p>
    <w:p>
      <w:pPr>
        <w:pStyle w:val="9"/>
        <w:ind w:firstLine="482"/>
        <w:rPr>
          <w:rFonts w:hint="eastAsia"/>
          <w:lang w:val="en-US" w:eastAsia="zh-CN"/>
        </w:rPr>
      </w:pPr>
      <w:r>
        <w:rPr>
          <w:rFonts w:hint="default"/>
          <w:lang w:val="en-US" w:eastAsia="zh-CN"/>
        </w:rPr>
        <w:t>⑤采用M7.5水泥砂浆对第二级边坡支撑渗沟表层30cm进行勾缝、封闭，防止雨水渗入坡体</w:t>
      </w:r>
      <w:r>
        <w:rPr>
          <w:rFonts w:hint="eastAsia"/>
          <w:lang w:val="en-US" w:eastAsia="zh-CN"/>
        </w:rPr>
        <w:t>。</w:t>
      </w:r>
    </w:p>
    <w:p>
      <w:pPr>
        <w:pStyle w:val="4"/>
        <w:rPr>
          <w:rFonts w:hint="default" w:eastAsia="华文仿宋"/>
          <w:lang w:val="en-US" w:eastAsia="zh-CN"/>
        </w:rPr>
      </w:pPr>
      <w:r>
        <w:rPr>
          <w:rFonts w:hint="eastAsia"/>
          <w:lang w:val="en-US" w:eastAsia="zh-CN"/>
        </w:rPr>
        <w:t>二、重新开展专项风险评估必要性</w:t>
      </w:r>
    </w:p>
    <w:p>
      <w:pPr>
        <w:pStyle w:val="9"/>
        <w:ind w:firstLine="482"/>
        <w:rPr>
          <w:rFonts w:hint="eastAsia" w:cs="Times New Roman"/>
          <w:lang w:val="en-US" w:eastAsia="zh-CN"/>
        </w:rPr>
      </w:pPr>
      <w:r>
        <w:rPr>
          <w:rFonts w:hint="eastAsia" w:cs="Times New Roman"/>
          <w:lang w:val="en-US" w:eastAsia="zh-CN"/>
        </w:rPr>
        <w:t>根据《公路水运工程施工安全风险评估指南第1部分：总体要求》（JT T 1375.1-2022）“第6.1.4 施工过程中，出现如下情况之一的，应开展施工过程专项风险评估：</w:t>
      </w:r>
    </w:p>
    <w:p>
      <w:pPr>
        <w:pStyle w:val="9"/>
        <w:ind w:firstLine="482"/>
        <w:rPr>
          <w:rFonts w:hint="eastAsia"/>
          <w:lang w:val="en-US" w:eastAsia="zh-CN"/>
        </w:rPr>
      </w:pPr>
      <w:r>
        <w:rPr>
          <w:rFonts w:hint="eastAsia"/>
          <w:lang w:val="en-US" w:eastAsia="zh-CN"/>
        </w:rPr>
        <w:t>a）重大作业活动存在遗漏；</w:t>
      </w:r>
    </w:p>
    <w:p>
      <w:pPr>
        <w:pStyle w:val="9"/>
        <w:ind w:firstLine="482"/>
        <w:rPr>
          <w:rFonts w:hint="eastAsia"/>
          <w:lang w:val="en-US" w:eastAsia="zh-CN"/>
        </w:rPr>
      </w:pPr>
      <w:r>
        <w:rPr>
          <w:rFonts w:hint="eastAsia"/>
          <w:lang w:val="en-US" w:eastAsia="zh-CN"/>
        </w:rPr>
        <w:t>b）经项目建设、施工、监理单位或评估单位提出并经论证出现了新的重大作业活动；</w:t>
      </w:r>
    </w:p>
    <w:p>
      <w:pPr>
        <w:pStyle w:val="9"/>
        <w:ind w:firstLine="482"/>
        <w:rPr>
          <w:rFonts w:hint="eastAsia" w:cs="Times New Roman"/>
          <w:lang w:val="en-US" w:eastAsia="zh-CN"/>
        </w:rPr>
      </w:pPr>
      <w:r>
        <w:rPr>
          <w:rFonts w:hint="eastAsia" w:cs="Times New Roman"/>
          <w:lang w:val="en-US" w:eastAsia="zh-CN"/>
        </w:rPr>
        <w:t>c）经项目建设、施工、监理单位或评估单位发现并提出原有的作业活动发生了重大变化，如现场揭示水文地质条件与事前判别的水文地质条件相差较大且趋于劣化、主要施工工艺发生实质性改变、发生对施工安全风险产生较大影响的设计变更、发生重大险情或生产安全事故等情况；</w:t>
      </w:r>
    </w:p>
    <w:p>
      <w:pPr>
        <w:pStyle w:val="9"/>
        <w:ind w:firstLine="482"/>
        <w:rPr>
          <w:rFonts w:hint="eastAsia"/>
          <w:lang w:val="en-US" w:eastAsia="zh-CN"/>
        </w:rPr>
      </w:pPr>
      <w:r>
        <w:rPr>
          <w:rFonts w:hint="eastAsia"/>
          <w:lang w:val="en-US" w:eastAsia="zh-CN"/>
        </w:rPr>
        <w:t>d）有关法律、法规、标准提出了新的要求。”</w:t>
      </w:r>
    </w:p>
    <w:p>
      <w:pPr>
        <w:pStyle w:val="9"/>
        <w:ind w:firstLine="482"/>
        <w:rPr>
          <w:rFonts w:hint="eastAsia"/>
          <w:lang w:val="en-US" w:eastAsia="zh-CN"/>
        </w:rPr>
      </w:pPr>
      <w:r>
        <w:rPr>
          <w:rFonts w:hint="eastAsia"/>
          <w:lang w:val="en-US" w:eastAsia="zh-CN"/>
        </w:rPr>
        <w:t>因此，变更后需组织变更后的施工安全专项风险评估。</w:t>
      </w:r>
    </w:p>
    <w:p>
      <w:pPr>
        <w:pStyle w:val="4"/>
        <w:numPr>
          <w:ilvl w:val="0"/>
          <w:numId w:val="1"/>
        </w:numPr>
        <w:rPr>
          <w:rFonts w:hint="eastAsia"/>
          <w:lang w:val="en-US" w:eastAsia="zh-CN"/>
        </w:rPr>
      </w:pPr>
      <w:r>
        <w:rPr>
          <w:rFonts w:hint="eastAsia"/>
          <w:lang w:val="en-US" w:eastAsia="zh-CN"/>
        </w:rPr>
        <w:t>评估内容</w:t>
      </w:r>
    </w:p>
    <w:p>
      <w:pPr>
        <w:pStyle w:val="9"/>
        <w:ind w:firstLine="482"/>
        <w:rPr>
          <w:rFonts w:hint="eastAsia"/>
          <w:lang w:val="en-US" w:eastAsia="zh-CN"/>
        </w:rPr>
      </w:pPr>
      <w:r>
        <w:rPr>
          <w:rFonts w:hint="eastAsia"/>
          <w:lang w:val="en-US" w:eastAsia="zh-CN"/>
        </w:rPr>
        <w:t>专项风险评估以作业活动或施工区段为评估对象，根据其施工技术复杂程度、施工工艺成熟度、施工组织便利性和、施工环境条件匹配性以及类似工程事故案例等，进行风险辨识与风险分析、风险估测，确定风险等级，提出相应的风险控制措施建议。</w:t>
      </w:r>
    </w:p>
    <w:p>
      <w:pPr>
        <w:pStyle w:val="9"/>
        <w:ind w:firstLine="482"/>
        <w:rPr>
          <w:rFonts w:hint="eastAsia" w:cs="Times New Roman"/>
          <w:lang w:val="en-US" w:eastAsia="zh-CN"/>
        </w:rPr>
      </w:pPr>
      <w:r>
        <w:rPr>
          <w:rFonts w:hint="eastAsia"/>
          <w:lang w:val="en-US" w:eastAsia="zh-CN"/>
        </w:rPr>
        <w:t>根据变更后的施工内容，变更后评估内容主要包括：</w:t>
      </w:r>
      <w:r>
        <w:rPr>
          <w:rFonts w:hint="eastAsia" w:cs="Times New Roman"/>
          <w:lang w:val="en-US" w:eastAsia="zh-CN"/>
        </w:rPr>
        <w:t>边坡开挖、</w:t>
      </w:r>
      <w:r>
        <w:rPr>
          <w:rFonts w:hint="default" w:cs="Times New Roman"/>
          <w:lang w:val="en-US" w:eastAsia="zh-CN"/>
        </w:rPr>
        <w:t>坡面防护及设施恢复</w:t>
      </w:r>
      <w:r>
        <w:rPr>
          <w:rFonts w:hint="eastAsia" w:cs="Times New Roman"/>
          <w:lang w:val="en-US" w:eastAsia="zh-CN"/>
        </w:rPr>
        <w:t>、抗滑桩施工、</w:t>
      </w:r>
      <w:r>
        <w:rPr>
          <w:rFonts w:hint="default" w:cs="Times New Roman"/>
          <w:lang w:val="en-US" w:eastAsia="zh-CN"/>
        </w:rPr>
        <w:t>平台截水沟</w:t>
      </w:r>
      <w:r>
        <w:rPr>
          <w:rFonts w:hint="eastAsia" w:cs="Times New Roman"/>
          <w:lang w:val="en-US" w:eastAsia="zh-CN"/>
        </w:rPr>
        <w:t>施工。</w:t>
      </w:r>
    </w:p>
    <w:p>
      <w:pPr>
        <w:pStyle w:val="4"/>
        <w:numPr>
          <w:ilvl w:val="0"/>
          <w:numId w:val="1"/>
        </w:numPr>
        <w:rPr>
          <w:rFonts w:hint="eastAsia" w:ascii="宋体" w:hAnsi="宋体" w:cs="宋体"/>
          <w:lang w:val="en-US" w:eastAsia="zh-CN"/>
        </w:rPr>
      </w:pPr>
      <w:r>
        <w:rPr>
          <w:rFonts w:hint="eastAsia" w:ascii="宋体" w:hAnsi="宋体" w:cs="宋体"/>
          <w:lang w:val="en-US" w:eastAsia="zh-CN"/>
        </w:rPr>
        <w:t xml:space="preserve">预算与资金来源 </w:t>
      </w:r>
    </w:p>
    <w:p>
      <w:pPr>
        <w:pStyle w:val="9"/>
        <w:ind w:firstLine="482"/>
        <w:rPr>
          <w:rFonts w:hint="eastAsia" w:cs="Times New Roman"/>
          <w:lang w:val="en-US" w:eastAsia="zh-CN"/>
        </w:rPr>
      </w:pPr>
      <w:r>
        <w:rPr>
          <w:rFonts w:hint="eastAsia" w:cs="Times New Roman"/>
          <w:lang w:val="en-US" w:eastAsia="zh-CN"/>
        </w:rPr>
        <w:t>1、总预算金额：8.6万元；</w:t>
      </w:r>
    </w:p>
    <w:p>
      <w:pPr>
        <w:pStyle w:val="9"/>
        <w:ind w:firstLine="482"/>
        <w:rPr>
          <w:rFonts w:hint="eastAsia" w:cs="Times New Roman"/>
          <w:lang w:val="en-US" w:eastAsia="zh-CN"/>
        </w:rPr>
      </w:pPr>
      <w:r>
        <w:rPr>
          <w:rFonts w:hint="eastAsia" w:cs="Times New Roman"/>
          <w:lang w:val="en-US" w:eastAsia="zh-CN"/>
        </w:rPr>
        <w:t>2、资金来源：公司自筹。</w:t>
      </w:r>
      <w:bookmarkStart w:id="1" w:name="_GoBack"/>
      <w:bookmarkEnd w:id="1"/>
    </w:p>
    <w:p>
      <w:pPr>
        <w:numPr>
          <w:ilvl w:val="0"/>
          <w:numId w:val="0"/>
        </w:numPr>
        <w:ind w:leftChars="0" w:right="240" w:rightChars="100"/>
        <w:jc w:val="both"/>
        <w:rPr>
          <w:rFonts w:hint="eastAsia" w:ascii="宋体" w:hAnsi="宋体" w:eastAsia="华文仿宋" w:cs="宋体"/>
          <w:b/>
          <w:kern w:val="44"/>
          <w:sz w:val="28"/>
          <w:lang w:val="en-US" w:eastAsia="zh-CN" w:bidi="ar-SA"/>
        </w:rPr>
      </w:pPr>
      <w:r>
        <w:rPr>
          <w:rFonts w:hint="eastAsia" w:ascii="宋体" w:hAnsi="宋体" w:eastAsia="华文仿宋" w:cs="宋体"/>
          <w:b/>
          <w:kern w:val="44"/>
          <w:sz w:val="28"/>
          <w:lang w:val="en-US" w:eastAsia="zh-CN" w:bidi="ar-SA"/>
        </w:rPr>
        <w:t xml:space="preserve">五、合同关键条款 </w:t>
      </w:r>
    </w:p>
    <w:p>
      <w:pPr>
        <w:pStyle w:val="2"/>
        <w:ind w:left="0" w:leftChars="0" w:firstLine="0" w:firstLineChars="0"/>
        <w:rPr>
          <w:rFonts w:hint="default" w:ascii="仿宋" w:hAnsi="仿宋" w:eastAsia="仿宋" w:cs="Times New Roman"/>
          <w:kern w:val="2"/>
          <w:sz w:val="24"/>
          <w:szCs w:val="32"/>
          <w:lang w:val="en-US" w:eastAsia="zh-CN" w:bidi="ar-SA"/>
        </w:rPr>
      </w:pPr>
      <w:r>
        <w:rPr>
          <w:rFonts w:hint="eastAsia" w:ascii="宋体" w:hAnsi="宋体" w:eastAsia="宋体" w:cs="宋体"/>
          <w:color w:val="auto"/>
          <w:kern w:val="0"/>
          <w:sz w:val="28"/>
          <w:szCs w:val="24"/>
          <w:lang w:val="en-US" w:eastAsia="zh-CN" w:bidi="en-US"/>
          <w14:ligatures w14:val="none"/>
        </w:rPr>
        <w:t xml:space="preserve">    </w:t>
      </w:r>
      <w:r>
        <w:rPr>
          <w:rFonts w:hint="eastAsia" w:ascii="仿宋" w:hAnsi="仿宋" w:eastAsia="仿宋" w:cs="Times New Roman"/>
          <w:kern w:val="2"/>
          <w:sz w:val="24"/>
          <w:szCs w:val="32"/>
          <w:lang w:val="en-US" w:eastAsia="zh-CN" w:bidi="ar-SA"/>
        </w:rPr>
        <w:t>1、合同签订后7天内提交报批稿。</w:t>
      </w:r>
    </w:p>
    <w:p>
      <w:pPr>
        <w:numPr>
          <w:ilvl w:val="0"/>
          <w:numId w:val="0"/>
        </w:numPr>
        <w:ind w:leftChars="0" w:right="240" w:rightChars="100" w:firstLine="480" w:firstLineChars="200"/>
        <w:jc w:val="both"/>
        <w:rPr>
          <w:rFonts w:hint="eastAsia" w:ascii="仿宋" w:hAnsi="仿宋" w:eastAsia="仿宋" w:cs="Times New Roman"/>
          <w:kern w:val="2"/>
          <w:sz w:val="24"/>
          <w:szCs w:val="32"/>
          <w:lang w:val="en-US" w:eastAsia="zh-CN" w:bidi="ar-SA"/>
        </w:rPr>
      </w:pPr>
      <w:r>
        <w:rPr>
          <w:rFonts w:hint="eastAsia" w:ascii="仿宋" w:hAnsi="仿宋" w:eastAsia="仿宋" w:cs="Times New Roman"/>
          <w:kern w:val="2"/>
          <w:sz w:val="24"/>
          <w:szCs w:val="32"/>
          <w:lang w:val="en-US" w:eastAsia="zh-CN" w:bidi="ar-SA"/>
        </w:rPr>
        <w:t>2、合同金额及资金支付方式：在乙方提交《施工安全专项风险评估报告（报批稿）》（4份）时一并向甲方提供合格有效的增值税专用发票（税率为3%，若因国家政策调整税率，乙方合同金额作相应调整），甲方在收到发票后30日内向乙方指定账户一次性支付。</w:t>
      </w:r>
    </w:p>
    <w:p>
      <w:pPr>
        <w:pStyle w:val="9"/>
        <w:ind w:firstLine="48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0E46670-F5B4-4ADC-8A1B-F7B5A61E5A47}"/>
  </w:font>
  <w:font w:name="华文仿宋">
    <w:panose1 w:val="02010600040101010101"/>
    <w:charset w:val="86"/>
    <w:family w:val="auto"/>
    <w:pitch w:val="default"/>
    <w:sig w:usb0="00000287" w:usb1="080F0000" w:usb2="00000000" w:usb3="00000000" w:csb0="0004009F" w:csb1="DFD70000"/>
    <w:embedRegular r:id="rId2" w:fontKey="{626CE383-1306-4D44-A1DB-D70126DE8A3D}"/>
  </w:font>
  <w:font w:name="仿宋">
    <w:panose1 w:val="02010609060101010101"/>
    <w:charset w:val="86"/>
    <w:family w:val="modern"/>
    <w:pitch w:val="default"/>
    <w:sig w:usb0="800002BF" w:usb1="38CF7CFA" w:usb2="00000016" w:usb3="00000000" w:csb0="00040001" w:csb1="00000000"/>
    <w:embedRegular r:id="rId3" w:fontKey="{37AB9905-60CA-4EDC-AF68-CF3343FFF241}"/>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D72EEA"/>
    <w:multiLevelType w:val="singleLevel"/>
    <w:tmpl w:val="33D72EE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04B36"/>
    <w:rsid w:val="05C07B0D"/>
    <w:rsid w:val="1E675A5E"/>
    <w:rsid w:val="251F6442"/>
    <w:rsid w:val="32C73CD0"/>
    <w:rsid w:val="364B5A89"/>
    <w:rsid w:val="3737134B"/>
    <w:rsid w:val="384A30E3"/>
    <w:rsid w:val="3C707719"/>
    <w:rsid w:val="416A4121"/>
    <w:rsid w:val="58CF00D2"/>
    <w:rsid w:val="61786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宋体" w:hAnsi="宋体" w:eastAsia="宋体" w:cs="宋体"/>
      <w:sz w:val="24"/>
      <w:lang w:val="en-US" w:eastAsia="zh-CN" w:bidi="ar-SA"/>
    </w:rPr>
  </w:style>
  <w:style w:type="paragraph" w:styleId="4">
    <w:name w:val="heading 1"/>
    <w:basedOn w:val="1"/>
    <w:next w:val="1"/>
    <w:qFormat/>
    <w:uiPriority w:val="9"/>
    <w:pPr>
      <w:keepNext/>
      <w:keepLines/>
      <w:outlineLvl w:val="0"/>
    </w:pPr>
    <w:rPr>
      <w:rFonts w:eastAsia="华文仿宋"/>
      <w:b/>
      <w:kern w:val="44"/>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rPr>
      <w:rFonts w:ascii="Times New Roman" w:hAnsi="Times New Roman" w:eastAsia="宋体" w:cs="宋体"/>
    </w:rPr>
  </w:style>
  <w:style w:type="paragraph" w:customStyle="1" w:styleId="3">
    <w:name w:val="Body Text Indent1"/>
    <w:basedOn w:val="1"/>
    <w:next w:val="1"/>
    <w:qFormat/>
    <w:uiPriority w:val="0"/>
    <w:pPr>
      <w:ind w:left="420" w:leftChars="200"/>
    </w:pPr>
    <w:rPr>
      <w:color w:val="000000"/>
      <w:szCs w:val="21"/>
    </w:rPr>
  </w:style>
  <w:style w:type="paragraph" w:styleId="5">
    <w:name w:val="Body Text"/>
    <w:basedOn w:val="1"/>
    <w:next w:val="6"/>
    <w:semiHidden/>
    <w:unhideWhenUsed/>
    <w:qFormat/>
    <w:uiPriority w:val="99"/>
    <w:pPr>
      <w:spacing w:after="120"/>
    </w:pPr>
  </w:style>
  <w:style w:type="paragraph" w:styleId="6">
    <w:name w:val="Body Text First Indent"/>
    <w:basedOn w:val="5"/>
    <w:next w:val="1"/>
    <w:unhideWhenUsed/>
    <w:qFormat/>
    <w:uiPriority w:val="99"/>
    <w:pPr>
      <w:ind w:firstLine="420" w:firstLineChars="100"/>
    </w:pPr>
  </w:style>
  <w:style w:type="paragraph" w:customStyle="1" w:styleId="9">
    <w:name w:val="1111正文"/>
    <w:basedOn w:val="1"/>
    <w:qFormat/>
    <w:uiPriority w:val="0"/>
    <w:pPr>
      <w:widowControl w:val="0"/>
      <w:adjustRightInd w:val="0"/>
      <w:snapToGrid w:val="0"/>
      <w:ind w:firstLine="480" w:firstLineChars="200"/>
      <w:jc w:val="both"/>
    </w:pPr>
    <w:rPr>
      <w:rFonts w:ascii="仿宋" w:hAnsi="仿宋" w:eastAsia="仿宋" w:cs="Times New Roman"/>
      <w:kern w:val="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1124</Words>
  <Characters>1220</Characters>
  <Lines>0</Lines>
  <Paragraphs>0</Paragraphs>
  <TotalTime>1</TotalTime>
  <ScaleCrop>false</ScaleCrop>
  <LinksUpToDate>false</LinksUpToDate>
  <CharactersWithSpaces>1223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2025-08-24T14:28:00Z</dcterms:created>
  <dc:creator>pt</dc:creator>
  <cp:lastModifiedBy>Administrator</cp:lastModifiedBy>
  <dcterms:modified xsi:type="dcterms:W3CDTF">2025-09-16T06:25:33Z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eyJoZGlkIjoiNTlmNmI3OWVmMjE2OGIxYjhlZTFjZmU2YjYzMDZiZWYiLCJ1c2VySWQiOiI5NTA1Nzc4MzIifQ==</vt:lpwstr>
  </property>
  <property fmtid="{D5CDD505-2E9C-101B-9397-08002B2CF9AE}" pid="4" name="ICV">
    <vt:lpwstr>E1C26BC6CF354007800A87384AFC429D_13</vt:lpwstr>
  </property>
</Properties>
</file>