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主要采购需求</w:t>
      </w:r>
    </w:p>
    <w:p>
      <w:pPr>
        <w:ind w:left="0" w:leftChars="0" w:right="210" w:rightChars="100" w:firstLine="0" w:firstLineChars="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 xml:space="preserve">一、采购项目基本情况 </w:t>
      </w:r>
    </w:p>
    <w:p>
      <w:pPr>
        <w:spacing w:line="360" w:lineRule="auto"/>
        <w:ind w:right="210" w:rightChars="100" w:firstLine="480" w:firstLineChars="200"/>
        <w:rPr>
          <w:rFonts w:hint="eastAsia" w:ascii="宋体" w:hAnsi="宋体" w:eastAsia="宋体" w:cs="宋体"/>
          <w:color w:val="auto"/>
          <w:kern w:val="0"/>
          <w:sz w:val="24"/>
          <w:szCs w:val="24"/>
          <w:lang w:val="en-US" w:eastAsia="zh-CN" w:bidi="en-US"/>
          <w14:ligatures w14:val="none"/>
        </w:rPr>
      </w:pPr>
      <w:r>
        <w:rPr>
          <w:rFonts w:hint="eastAsia" w:ascii="宋体" w:hAnsi="宋体" w:eastAsia="宋体" w:cs="宋体"/>
          <w:color w:val="auto"/>
          <w:kern w:val="0"/>
          <w:sz w:val="24"/>
          <w:szCs w:val="24"/>
          <w:lang w:val="en-US" w:eastAsia="zh-CN" w:bidi="en-US"/>
          <w14:ligatures w14:val="none"/>
        </w:rPr>
        <w:t>项目名称：320国道龙游童家至平山桥段公路工程TJ02标段（台式电脑）采购项目</w:t>
      </w:r>
    </w:p>
    <w:p>
      <w:pPr>
        <w:spacing w:line="360" w:lineRule="auto"/>
        <w:ind w:left="210" w:leftChars="100" w:right="210" w:rightChars="100" w:firstLine="240" w:firstLineChars="100"/>
        <w:rPr>
          <w:rFonts w:hint="eastAsia" w:ascii="宋体" w:hAnsi="宋体" w:eastAsia="宋体" w:cs="宋体"/>
          <w:color w:val="auto"/>
          <w:kern w:val="0"/>
          <w:sz w:val="24"/>
          <w:szCs w:val="24"/>
          <w:lang w:val="en-US" w:eastAsia="zh-CN" w:bidi="en-US"/>
          <w14:ligatures w14:val="none"/>
        </w:rPr>
      </w:pPr>
      <w:r>
        <w:rPr>
          <w:rFonts w:hint="eastAsia" w:ascii="宋体" w:hAnsi="宋体" w:eastAsia="宋体" w:cs="宋体"/>
          <w:color w:val="auto"/>
          <w:kern w:val="0"/>
          <w:sz w:val="24"/>
          <w:szCs w:val="24"/>
          <w:lang w:val="en-US" w:eastAsia="zh-CN" w:bidi="en-US"/>
          <w14:ligatures w14:val="none"/>
        </w:rPr>
        <w:t>项目背景：</w:t>
      </w:r>
    </w:p>
    <w:p>
      <w:pPr>
        <w:spacing w:line="360" w:lineRule="auto"/>
        <w:ind w:right="210" w:rightChars="100" w:firstLine="480" w:firstLineChars="200"/>
        <w:rPr>
          <w:rFonts w:hint="eastAsia" w:ascii="宋体" w:hAnsi="宋体" w:eastAsia="宋体" w:cs="宋体"/>
          <w:color w:val="auto"/>
          <w:kern w:val="0"/>
          <w:sz w:val="24"/>
          <w:szCs w:val="24"/>
          <w:lang w:val="en-US" w:eastAsia="zh-CN" w:bidi="en-US"/>
          <w14:ligatures w14:val="none"/>
        </w:rPr>
      </w:pPr>
      <w:r>
        <w:rPr>
          <w:rFonts w:hint="eastAsia" w:ascii="宋体" w:hAnsi="宋体" w:eastAsia="宋体" w:cs="宋体"/>
          <w:color w:val="auto"/>
          <w:kern w:val="0"/>
          <w:sz w:val="24"/>
          <w:szCs w:val="24"/>
          <w:lang w:val="en-US" w:eastAsia="zh-CN" w:bidi="en-US"/>
          <w14:ligatures w14:val="none"/>
        </w:rPr>
        <w:t>因新项目（320国道龙游童家至平山桥段公路工程第TJ02标段）开工建设,公司项目部人员6名和试验检测人员3名，需利用电脑来开展相关工作以确保项目能够顺利进行。因此本项目需采购台式电脑9台，确保施工管理相关工作有效开展及工程能够保质保量的顺利完成</w:t>
      </w:r>
    </w:p>
    <w:p>
      <w:pPr>
        <w:pStyle w:val="5"/>
        <w:numPr>
          <w:ilvl w:val="0"/>
          <w:numId w:val="1"/>
        </w:numPr>
        <w:ind w:left="0" w:leftChars="0" w:firstLine="0" w:firstLineChars="0"/>
        <w:rPr>
          <w:rFonts w:hint="eastAsia" w:ascii="宋体" w:hAnsi="宋体" w:eastAsia="宋体" w:cs="宋体"/>
          <w:b/>
          <w:bCs/>
          <w:color w:val="auto"/>
          <w:kern w:val="0"/>
          <w:sz w:val="28"/>
          <w:szCs w:val="28"/>
          <w:lang w:val="en-US" w:eastAsia="zh-CN" w:bidi="en-US"/>
          <w14:ligatures w14:val="none"/>
        </w:rPr>
      </w:pPr>
      <w:r>
        <w:rPr>
          <w:rFonts w:hint="eastAsia" w:ascii="宋体" w:hAnsi="宋体" w:eastAsia="宋体" w:cs="宋体"/>
          <w:b/>
          <w:bCs/>
          <w:color w:val="auto"/>
          <w:kern w:val="0"/>
          <w:sz w:val="28"/>
          <w:szCs w:val="28"/>
          <w:lang w:val="en-US" w:eastAsia="zh-CN" w:bidi="en-US"/>
          <w14:ligatures w14:val="none"/>
        </w:rPr>
        <w:t>采购需求明细</w:t>
      </w:r>
    </w:p>
    <w:p>
      <w:pPr>
        <w:pStyle w:val="7"/>
        <w:numPr>
          <w:ilvl w:val="0"/>
          <w:numId w:val="2"/>
        </w:numPr>
        <w:tabs>
          <w:tab w:val="clear" w:pos="312"/>
        </w:tabs>
        <w:ind w:firstLine="540"/>
        <w:rPr>
          <w:rFonts w:hint="eastAsia" w:ascii="宋体" w:hAnsi="宋体" w:eastAsia="宋体" w:cs="宋体"/>
          <w:color w:val="auto"/>
          <w:kern w:val="0"/>
          <w:sz w:val="28"/>
          <w:szCs w:val="24"/>
          <w:lang w:val="en-US" w:eastAsia="zh-CN" w:bidi="en-US"/>
          <w14:ligatures w14:val="none"/>
        </w:rPr>
      </w:pPr>
      <w:r>
        <w:rPr>
          <w:rFonts w:hint="eastAsia" w:ascii="宋体" w:hAnsi="宋体" w:eastAsia="宋体" w:cs="宋体"/>
          <w:color w:val="auto"/>
          <w:kern w:val="0"/>
          <w:sz w:val="28"/>
          <w:szCs w:val="24"/>
          <w:lang w:val="en-US" w:eastAsia="zh-CN" w:bidi="en-US"/>
          <w14:ligatures w14:val="none"/>
        </w:rPr>
        <w:t>采购</w:t>
      </w:r>
      <w:r>
        <w:rPr>
          <w:rFonts w:hint="eastAsia" w:cs="宋体"/>
          <w:color w:val="auto"/>
          <w:kern w:val="0"/>
          <w:sz w:val="28"/>
          <w:szCs w:val="24"/>
          <w:lang w:val="en-US" w:eastAsia="zh-CN" w:bidi="en-US"/>
          <w14:ligatures w14:val="none"/>
        </w:rPr>
        <w:t>清单</w:t>
      </w:r>
      <w:r>
        <w:rPr>
          <w:rFonts w:hint="eastAsia" w:ascii="宋体" w:hAnsi="宋体" w:eastAsia="宋体" w:cs="宋体"/>
          <w:color w:val="auto"/>
          <w:kern w:val="0"/>
          <w:sz w:val="28"/>
          <w:szCs w:val="24"/>
          <w:lang w:val="en-US" w:eastAsia="zh-CN" w:bidi="en-US"/>
          <w14:ligatures w14:val="none"/>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092"/>
        <w:gridCol w:w="5078"/>
        <w:gridCol w:w="758"/>
        <w:gridCol w:w="7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lang w:val="en-US" w:eastAsia="zh-CN"/>
              </w:rPr>
              <w:t>序号</w:t>
            </w:r>
          </w:p>
        </w:tc>
        <w:tc>
          <w:tcPr>
            <w:tcW w:w="1092"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rPr>
              <w:t>名 称</w:t>
            </w:r>
          </w:p>
        </w:tc>
        <w:tc>
          <w:tcPr>
            <w:tcW w:w="5078"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rPr>
              <w:t>技术参数</w:t>
            </w:r>
          </w:p>
        </w:tc>
        <w:tc>
          <w:tcPr>
            <w:tcW w:w="758"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lang w:val="en-US" w:eastAsia="zh-CN"/>
              </w:rPr>
              <w:t>单位</w:t>
            </w:r>
          </w:p>
        </w:tc>
        <w:tc>
          <w:tcPr>
            <w:tcW w:w="745"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rPr>
              <w:t>数量</w:t>
            </w:r>
          </w:p>
        </w:tc>
        <w:tc>
          <w:tcPr>
            <w:tcW w:w="898" w:type="dxa"/>
            <w:vAlign w:val="top"/>
          </w:tcPr>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pPr>
              <w:pStyle w:val="7"/>
              <w:numPr>
                <w:ilvl w:val="0"/>
                <w:numId w:val="0"/>
              </w:numPr>
              <w:jc w:val="center"/>
              <w:rPr>
                <w:rFonts w:hint="eastAsia" w:ascii="宋体" w:hAnsi="宋体" w:eastAsia="宋体" w:cs="宋体"/>
                <w:color w:val="000000"/>
                <w:kern w:val="0"/>
                <w:sz w:val="24"/>
                <w:szCs w:val="24"/>
                <w:lang w:val="en-US" w:eastAsia="zh-CN" w:bidi="en-US"/>
                <w14:ligatures w14:val="none"/>
              </w:rPr>
            </w:pPr>
            <w:bookmarkStart w:id="0" w:name="OLE_LINK4" w:colFirst="2" w:colLast="2"/>
          </w:p>
          <w:p>
            <w:pPr>
              <w:pStyle w:val="7"/>
              <w:numPr>
                <w:ilvl w:val="0"/>
                <w:numId w:val="0"/>
              </w:numPr>
              <w:jc w:val="center"/>
              <w:rPr>
                <w:rFonts w:hint="eastAsia" w:ascii="宋体" w:hAnsi="宋体" w:eastAsia="宋体" w:cs="宋体"/>
                <w:color w:val="000000"/>
                <w:kern w:val="0"/>
                <w:sz w:val="24"/>
                <w:szCs w:val="24"/>
                <w:lang w:val="en-US" w:eastAsia="zh-CN" w:bidi="en-US"/>
                <w14:ligatures w14:val="none"/>
              </w:rPr>
            </w:pPr>
          </w:p>
          <w:p>
            <w:pPr>
              <w:pStyle w:val="7"/>
              <w:numPr>
                <w:ilvl w:val="0"/>
                <w:numId w:val="0"/>
              </w:numPr>
              <w:jc w:val="center"/>
              <w:rPr>
                <w:rFonts w:hint="eastAsia" w:ascii="宋体" w:hAnsi="宋体" w:eastAsia="宋体" w:cs="宋体"/>
                <w:color w:val="000000"/>
                <w:kern w:val="0"/>
                <w:sz w:val="24"/>
                <w:szCs w:val="24"/>
                <w:lang w:val="en-US" w:eastAsia="zh-CN" w:bidi="en-US"/>
                <w14:ligatures w14:val="none"/>
              </w:rPr>
            </w:pPr>
          </w:p>
          <w:p>
            <w:pPr>
              <w:pStyle w:val="7"/>
              <w:numPr>
                <w:ilvl w:val="0"/>
                <w:numId w:val="0"/>
              </w:numPr>
              <w:jc w:val="center"/>
              <w:rPr>
                <w:rFonts w:hint="default" w:ascii="宋体" w:hAnsi="宋体" w:eastAsia="宋体" w:cs="宋体"/>
                <w:color w:val="000000"/>
                <w:kern w:val="0"/>
                <w:sz w:val="24"/>
                <w:szCs w:val="24"/>
                <w:lang w:val="en-US" w:eastAsia="zh-CN" w:bidi="en-US"/>
                <w14:ligatures w14:val="none"/>
              </w:rPr>
            </w:pPr>
            <w:r>
              <w:rPr>
                <w:rFonts w:hint="eastAsia" w:ascii="宋体" w:hAnsi="宋体" w:eastAsia="宋体" w:cs="宋体"/>
                <w:color w:val="000000"/>
                <w:kern w:val="0"/>
                <w:sz w:val="24"/>
                <w:szCs w:val="24"/>
                <w:lang w:val="en-US" w:eastAsia="zh-CN" w:bidi="en-US"/>
                <w14:ligatures w14:val="none"/>
              </w:rPr>
              <w:t>1</w:t>
            </w:r>
          </w:p>
        </w:tc>
        <w:tc>
          <w:tcPr>
            <w:tcW w:w="1092" w:type="dxa"/>
            <w:vAlign w:val="top"/>
          </w:tcPr>
          <w:p>
            <w:pPr>
              <w:ind w:left="0" w:leftChars="0" w:firstLine="0" w:firstLineChars="0"/>
              <w:jc w:val="center"/>
              <w:rPr>
                <w:rFonts w:hint="eastAsia" w:ascii="宋体" w:hAnsi="宋体" w:eastAsia="宋体" w:cs="宋体"/>
                <w:sz w:val="24"/>
                <w:szCs w:val="24"/>
              </w:rPr>
            </w:pPr>
          </w:p>
          <w:p>
            <w:pPr>
              <w:ind w:left="0" w:leftChars="0" w:firstLine="0" w:firstLineChars="0"/>
              <w:jc w:val="center"/>
              <w:rPr>
                <w:rFonts w:hint="eastAsia" w:ascii="宋体" w:hAnsi="宋体" w:eastAsia="宋体" w:cs="宋体"/>
                <w:sz w:val="24"/>
                <w:szCs w:val="24"/>
              </w:rPr>
            </w:pPr>
          </w:p>
          <w:p>
            <w:pPr>
              <w:ind w:left="0" w:leftChars="0" w:firstLine="0" w:firstLineChars="0"/>
              <w:jc w:val="center"/>
              <w:rPr>
                <w:rFonts w:hint="eastAsia" w:ascii="宋体" w:hAnsi="宋体" w:eastAsia="宋体" w:cs="宋体"/>
                <w:sz w:val="24"/>
                <w:szCs w:val="24"/>
              </w:rPr>
            </w:pPr>
          </w:p>
          <w:p>
            <w:pPr>
              <w:ind w:left="0" w:leftChars="0" w:firstLine="0" w:firstLineChars="0"/>
              <w:jc w:val="center"/>
              <w:rPr>
                <w:rFonts w:hint="eastAsia" w:ascii="宋体" w:hAnsi="宋体" w:eastAsia="宋体" w:cs="宋体"/>
                <w:sz w:val="24"/>
                <w:szCs w:val="24"/>
              </w:rPr>
            </w:pPr>
          </w:p>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rPr>
              <w:t>电脑</w:t>
            </w:r>
            <w:r>
              <w:rPr>
                <w:rFonts w:hint="eastAsia" w:ascii="宋体" w:hAnsi="宋体" w:eastAsia="宋体" w:cs="宋体"/>
                <w:sz w:val="24"/>
                <w:szCs w:val="24"/>
                <w:lang w:val="en-US" w:eastAsia="zh-CN"/>
              </w:rPr>
              <w:t>主机</w:t>
            </w:r>
          </w:p>
        </w:tc>
        <w:tc>
          <w:tcPr>
            <w:tcW w:w="5078" w:type="dxa"/>
            <w:vAlign w:val="top"/>
          </w:tcPr>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1.机型：台式机，</w:t>
            </w:r>
            <w:r>
              <w:rPr>
                <w:rFonts w:hint="eastAsia" w:ascii="宋体" w:hAnsi="宋体" w:eastAsia="宋体" w:cs="宋体"/>
                <w:sz w:val="21"/>
                <w:szCs w:val="21"/>
                <w:lang w:val="en-US" w:eastAsia="zh-CN"/>
              </w:rPr>
              <w:t>可接受定</w:t>
            </w:r>
            <w:r>
              <w:rPr>
                <w:rFonts w:hint="eastAsia" w:ascii="宋体" w:hAnsi="宋体" w:eastAsia="宋体" w:cs="宋体"/>
                <w:sz w:val="21"/>
                <w:szCs w:val="21"/>
              </w:rPr>
              <w:t>制机型。</w:t>
            </w:r>
          </w:p>
          <w:p>
            <w:pPr>
              <w:spacing w:line="24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bCs w:val="0"/>
                <w:color w:val="auto"/>
                <w:kern w:val="2"/>
                <w:sz w:val="21"/>
                <w:szCs w:val="21"/>
                <w:lang w:val="en-US" w:eastAsia="zh-CN" w:bidi="ar-SA"/>
              </w:rPr>
              <w:t>▲</w:t>
            </w:r>
            <w:r>
              <w:rPr>
                <w:rFonts w:hint="eastAsia" w:ascii="宋体" w:hAnsi="宋体" w:eastAsia="宋体" w:cs="宋体"/>
                <w:sz w:val="21"/>
                <w:szCs w:val="21"/>
              </w:rPr>
              <w:t xml:space="preserve">主板：Intel </w:t>
            </w:r>
            <w:r>
              <w:rPr>
                <w:rFonts w:hint="eastAsia" w:ascii="宋体" w:hAnsi="宋体" w:eastAsia="宋体" w:cs="宋体"/>
                <w:sz w:val="21"/>
                <w:szCs w:val="21"/>
                <w:lang w:val="en-US" w:eastAsia="zh-CN"/>
              </w:rPr>
              <w:t>BZ</w:t>
            </w:r>
            <w:r>
              <w:rPr>
                <w:rFonts w:hint="eastAsia" w:ascii="宋体" w:hAnsi="宋体" w:eastAsia="宋体" w:cs="宋体"/>
                <w:sz w:val="21"/>
                <w:szCs w:val="21"/>
              </w:rPr>
              <w:t>7系列芯片组</w:t>
            </w:r>
            <w:r>
              <w:rPr>
                <w:rFonts w:hint="eastAsia" w:ascii="宋体" w:hAnsi="宋体" w:eastAsia="宋体" w:cs="宋体"/>
                <w:sz w:val="21"/>
                <w:szCs w:val="21"/>
                <w:lang w:eastAsia="zh-CN"/>
              </w:rPr>
              <w:t>（联想、华硕、惠普任选其一）</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val="0"/>
                <w:color w:val="auto"/>
                <w:kern w:val="2"/>
                <w:sz w:val="21"/>
                <w:szCs w:val="21"/>
                <w:lang w:val="en-US" w:eastAsia="zh-CN" w:bidi="ar-SA"/>
              </w:rPr>
              <w:t>▲</w:t>
            </w:r>
            <w:r>
              <w:rPr>
                <w:rFonts w:hint="eastAsia" w:ascii="宋体" w:hAnsi="宋体" w:eastAsia="宋体" w:cs="宋体"/>
                <w:sz w:val="21"/>
                <w:szCs w:val="21"/>
              </w:rPr>
              <w:t>CPU： ≥Intel Core i5-</w:t>
            </w:r>
            <w:r>
              <w:rPr>
                <w:rFonts w:hint="eastAsia" w:ascii="宋体" w:hAnsi="宋体" w:eastAsia="宋体" w:cs="宋体"/>
                <w:sz w:val="21"/>
                <w:szCs w:val="21"/>
                <w:lang w:val="en-US" w:eastAsia="zh-CN"/>
              </w:rPr>
              <w:t>13500</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4.内存：≥16G DDR4  3200MHz，最大支持64G内存</w:t>
            </w:r>
          </w:p>
          <w:p>
            <w:pPr>
              <w:spacing w:line="24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5.硬盘：≥</w:t>
            </w:r>
            <w:r>
              <w:rPr>
                <w:rFonts w:hint="eastAsia" w:ascii="宋体" w:hAnsi="宋体" w:eastAsia="宋体" w:cs="宋体"/>
                <w:sz w:val="21"/>
                <w:szCs w:val="21"/>
                <w:lang w:val="en-US" w:eastAsia="zh-CN"/>
              </w:rPr>
              <w:t>1000</w:t>
            </w:r>
            <w:r>
              <w:rPr>
                <w:rFonts w:hint="eastAsia" w:ascii="宋体" w:hAnsi="宋体" w:eastAsia="宋体" w:cs="宋体"/>
                <w:sz w:val="21"/>
                <w:szCs w:val="21"/>
              </w:rPr>
              <w:t>G M.2 NVME固态硬盘</w:t>
            </w:r>
            <w:r>
              <w:rPr>
                <w:rFonts w:hint="eastAsia" w:ascii="宋体" w:hAnsi="宋体" w:eastAsia="宋体" w:cs="宋体"/>
                <w:sz w:val="21"/>
                <w:szCs w:val="21"/>
                <w:lang w:eastAsia="zh-CN"/>
              </w:rPr>
              <w:t>（三星、</w:t>
            </w:r>
            <w:r>
              <w:rPr>
                <w:rFonts w:hint="eastAsia" w:ascii="宋体" w:hAnsi="宋体" w:eastAsia="宋体" w:cs="宋体"/>
                <w:sz w:val="21"/>
                <w:szCs w:val="21"/>
                <w:lang w:val="en-US" w:eastAsia="zh-CN"/>
              </w:rPr>
              <w:t>WD黑盘</w:t>
            </w:r>
            <w:r>
              <w:rPr>
                <w:rFonts w:hint="eastAsia" w:ascii="宋体" w:hAnsi="宋体" w:eastAsia="宋体" w:cs="宋体"/>
                <w:sz w:val="21"/>
                <w:szCs w:val="21"/>
                <w:lang w:eastAsia="zh-CN"/>
              </w:rPr>
              <w:t>）</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6.显卡：</w:t>
            </w:r>
            <w:r>
              <w:rPr>
                <w:rFonts w:hint="eastAsia" w:ascii="宋体" w:hAnsi="宋体" w:eastAsia="宋体" w:cs="宋体"/>
                <w:sz w:val="21"/>
                <w:szCs w:val="21"/>
                <w:lang w:val="en-US" w:eastAsia="zh-CN"/>
              </w:rPr>
              <w:t>独立显卡</w:t>
            </w:r>
            <w:r>
              <w:rPr>
                <w:rFonts w:hint="eastAsia" w:ascii="宋体" w:hAnsi="宋体" w:eastAsia="宋体" w:cs="宋体"/>
                <w:sz w:val="21"/>
                <w:szCs w:val="21"/>
              </w:rPr>
              <w:t>，</w:t>
            </w:r>
            <w:r>
              <w:rPr>
                <w:rFonts w:hint="eastAsia" w:ascii="宋体" w:hAnsi="宋体" w:eastAsia="宋体" w:cs="宋体"/>
                <w:sz w:val="21"/>
                <w:szCs w:val="21"/>
                <w:lang w:eastAsia="zh-CN"/>
              </w:rPr>
              <w:t>型号</w:t>
            </w:r>
            <w:r>
              <w:rPr>
                <w:rFonts w:hint="eastAsia" w:ascii="宋体" w:hAnsi="宋体" w:eastAsia="宋体" w:cs="宋体"/>
                <w:sz w:val="21"/>
                <w:szCs w:val="21"/>
              </w:rPr>
              <w:t>≥</w:t>
            </w:r>
            <w:r>
              <w:rPr>
                <w:rFonts w:hint="eastAsia" w:ascii="宋体" w:hAnsi="宋体" w:eastAsia="宋体" w:cs="宋体"/>
                <w:sz w:val="21"/>
                <w:szCs w:val="21"/>
                <w:lang w:val="en-US" w:eastAsia="zh-CN"/>
              </w:rPr>
              <w:t>GTX2070   显存</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6G   </w:t>
            </w:r>
            <w:r>
              <w:rPr>
                <w:rFonts w:hint="eastAsia" w:ascii="宋体" w:hAnsi="宋体" w:eastAsia="宋体" w:cs="宋体"/>
                <w:sz w:val="21"/>
                <w:szCs w:val="21"/>
              </w:rPr>
              <w:t>视频输出端口≥</w:t>
            </w:r>
            <w:r>
              <w:rPr>
                <w:rFonts w:hint="eastAsia" w:ascii="宋体" w:hAnsi="宋体" w:eastAsia="宋体" w:cs="宋体"/>
                <w:sz w:val="21"/>
                <w:szCs w:val="21"/>
                <w:lang w:val="en-US" w:eastAsia="zh-CN"/>
              </w:rPr>
              <w:t>3</w:t>
            </w:r>
            <w:r>
              <w:rPr>
                <w:rFonts w:hint="eastAsia" w:ascii="宋体" w:hAnsi="宋体" w:eastAsia="宋体" w:cs="宋体"/>
                <w:sz w:val="21"/>
                <w:szCs w:val="21"/>
              </w:rPr>
              <w:t>个</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7.接口：≥</w:t>
            </w:r>
            <w:r>
              <w:rPr>
                <w:rFonts w:hint="eastAsia" w:ascii="宋体" w:hAnsi="宋体" w:eastAsia="宋体" w:cs="宋体"/>
                <w:sz w:val="21"/>
                <w:szCs w:val="21"/>
                <w:lang w:val="en-US" w:eastAsia="zh-CN"/>
              </w:rPr>
              <w:t>6</w:t>
            </w:r>
            <w:r>
              <w:rPr>
                <w:rFonts w:hint="eastAsia" w:ascii="宋体" w:hAnsi="宋体" w:eastAsia="宋体" w:cs="宋体"/>
                <w:sz w:val="21"/>
                <w:szCs w:val="21"/>
              </w:rPr>
              <w:t>个USB端口，其中USB3.0不少于</w:t>
            </w:r>
            <w:r>
              <w:rPr>
                <w:rFonts w:hint="eastAsia" w:ascii="宋体" w:hAnsi="宋体" w:eastAsia="宋体" w:cs="宋体"/>
                <w:sz w:val="21"/>
                <w:szCs w:val="21"/>
                <w:lang w:val="en-US" w:eastAsia="zh-CN"/>
              </w:rPr>
              <w:t>2</w:t>
            </w:r>
            <w:r>
              <w:rPr>
                <w:rFonts w:hint="eastAsia" w:ascii="宋体" w:hAnsi="宋体" w:eastAsia="宋体" w:cs="宋体"/>
                <w:sz w:val="21"/>
                <w:szCs w:val="21"/>
              </w:rPr>
              <w:t>个（前面板2个）；</w:t>
            </w:r>
          </w:p>
          <w:p>
            <w:pPr>
              <w:spacing w:line="24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8.输入设备：键鼠套装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联想、惠普、华硕</w:t>
            </w:r>
            <w:r>
              <w:rPr>
                <w:rFonts w:hint="eastAsia" w:ascii="宋体" w:hAnsi="宋体" w:eastAsia="宋体" w:cs="宋体"/>
                <w:sz w:val="21"/>
                <w:szCs w:val="21"/>
                <w:lang w:eastAsia="zh-CN"/>
              </w:rPr>
              <w:t>任选其一）</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9.★系统：Windows 1</w:t>
            </w:r>
            <w:r>
              <w:rPr>
                <w:rFonts w:hint="eastAsia" w:ascii="宋体" w:hAnsi="宋体" w:eastAsia="宋体" w:cs="宋体"/>
                <w:sz w:val="21"/>
                <w:szCs w:val="21"/>
                <w:lang w:val="en-US" w:eastAsia="zh-CN"/>
              </w:rPr>
              <w:t>0专业版或</w:t>
            </w:r>
            <w:r>
              <w:rPr>
                <w:rFonts w:hint="eastAsia" w:ascii="宋体" w:hAnsi="宋体" w:eastAsia="宋体" w:cs="宋体"/>
                <w:sz w:val="21"/>
                <w:szCs w:val="21"/>
                <w:lang w:eastAsia="zh-Hans"/>
              </w:rPr>
              <w:t>企业版</w:t>
            </w:r>
            <w:r>
              <w:rPr>
                <w:rFonts w:hint="eastAsia" w:ascii="宋体" w:hAnsi="宋体" w:eastAsia="宋体" w:cs="宋体"/>
                <w:sz w:val="21"/>
                <w:szCs w:val="21"/>
              </w:rPr>
              <w:t>操作系统。</w:t>
            </w:r>
          </w:p>
          <w:p>
            <w:pPr>
              <w:spacing w:line="240" w:lineRule="auto"/>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bCs w:val="0"/>
                <w:color w:val="auto"/>
                <w:kern w:val="2"/>
                <w:sz w:val="21"/>
                <w:szCs w:val="21"/>
                <w:lang w:val="en-US" w:eastAsia="zh-CN" w:bidi="ar-SA"/>
              </w:rPr>
              <w:t>▲</w:t>
            </w:r>
            <w:r>
              <w:rPr>
                <w:rFonts w:hint="eastAsia" w:ascii="宋体" w:hAnsi="宋体" w:eastAsia="宋体" w:cs="宋体"/>
                <w:sz w:val="21"/>
                <w:szCs w:val="21"/>
              </w:rPr>
              <w:t>电源：≥</w:t>
            </w:r>
            <w:r>
              <w:rPr>
                <w:rFonts w:hint="eastAsia" w:ascii="宋体" w:hAnsi="宋体" w:eastAsia="宋体" w:cs="宋体"/>
                <w:sz w:val="21"/>
                <w:szCs w:val="21"/>
                <w:lang w:val="en-US" w:eastAsia="zh-CN"/>
              </w:rPr>
              <w:t>500</w:t>
            </w:r>
            <w:r>
              <w:rPr>
                <w:rFonts w:hint="eastAsia" w:ascii="宋体" w:hAnsi="宋体" w:eastAsia="宋体" w:cs="宋体"/>
                <w:sz w:val="21"/>
                <w:szCs w:val="21"/>
              </w:rPr>
              <w:t>W 内置电源，92% 能效</w:t>
            </w:r>
            <w:r>
              <w:rPr>
                <w:rFonts w:hint="eastAsia" w:ascii="宋体" w:hAnsi="宋体" w:eastAsia="宋体" w:cs="宋体"/>
                <w:sz w:val="21"/>
                <w:szCs w:val="21"/>
                <w:lang w:val="en-US" w:eastAsia="zh-CN"/>
              </w:rPr>
              <w:t xml:space="preserve"> </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11.音频：通用音频插孔，麦克风 / 耳机组合插孔</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12.扩展插槽：≥1 个PCI插槽；1个PCIe x1 插槽；1 个PCIe x16 插槽； ≥</w:t>
            </w:r>
            <w:r>
              <w:rPr>
                <w:rFonts w:hint="eastAsia" w:ascii="宋体" w:hAnsi="宋体" w:eastAsia="宋体" w:cs="宋体"/>
                <w:sz w:val="21"/>
                <w:szCs w:val="21"/>
                <w:lang w:val="en-US" w:eastAsia="zh-CN"/>
              </w:rPr>
              <w:t>2</w:t>
            </w:r>
            <w:r>
              <w:rPr>
                <w:rFonts w:hint="eastAsia" w:ascii="宋体" w:hAnsi="宋体" w:eastAsia="宋体" w:cs="宋体"/>
                <w:sz w:val="21"/>
                <w:szCs w:val="21"/>
              </w:rPr>
              <w:t>个M.2</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13.网卡：集成10/100/1000M网卡</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14.机箱：标准立式机箱，≤16</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5</w:t>
            </w:r>
            <w:r>
              <w:rPr>
                <w:rFonts w:hint="eastAsia" w:ascii="宋体" w:hAnsi="宋体" w:eastAsia="宋体" w:cs="宋体"/>
                <w:sz w:val="21"/>
                <w:szCs w:val="21"/>
              </w:rPr>
              <w:t>L体积。</w:t>
            </w:r>
          </w:p>
          <w:p>
            <w:pPr>
              <w:spacing w:line="240" w:lineRule="auto"/>
              <w:ind w:left="0" w:leftChars="0" w:firstLine="0" w:firstLineChars="0"/>
              <w:jc w:val="left"/>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出厂自带</w:t>
            </w:r>
            <w:r>
              <w:rPr>
                <w:rFonts w:hint="eastAsia" w:ascii="宋体" w:hAnsi="宋体" w:eastAsia="宋体" w:cs="宋体"/>
                <w:sz w:val="21"/>
                <w:szCs w:val="21"/>
              </w:rPr>
              <w:t>管理软件：</w:t>
            </w:r>
            <w:r>
              <w:rPr>
                <w:rFonts w:hint="eastAsia" w:ascii="宋体" w:hAnsi="宋体" w:eastAsia="宋体" w:cs="宋体"/>
                <w:sz w:val="21"/>
                <w:szCs w:val="21"/>
                <w:lang w:val="en-US" w:eastAsia="zh-CN"/>
              </w:rPr>
              <w:t>CAD_2023、 office2021、 wps、 钉钉、微信等常用软件</w:t>
            </w:r>
          </w:p>
        </w:tc>
        <w:tc>
          <w:tcPr>
            <w:tcW w:w="758" w:type="dxa"/>
            <w:vAlign w:val="top"/>
          </w:tcPr>
          <w:p>
            <w:pPr>
              <w:spacing w:line="240" w:lineRule="auto"/>
              <w:ind w:left="0" w:leftChars="0" w:firstLine="273" w:firstLineChars="114"/>
              <w:jc w:val="left"/>
              <w:rPr>
                <w:rFonts w:hint="eastAsia" w:ascii="宋体" w:hAnsi="宋体" w:eastAsia="宋体" w:cs="宋体"/>
                <w:sz w:val="24"/>
                <w:szCs w:val="24"/>
                <w:lang w:val="en-US" w:eastAsia="zh-CN"/>
              </w:rPr>
            </w:pPr>
          </w:p>
          <w:p>
            <w:pPr>
              <w:spacing w:line="240" w:lineRule="auto"/>
              <w:ind w:left="0" w:leftChars="0" w:firstLine="273" w:firstLineChars="114"/>
              <w:jc w:val="left"/>
              <w:rPr>
                <w:rFonts w:hint="eastAsia" w:ascii="宋体" w:hAnsi="宋体" w:eastAsia="宋体" w:cs="宋体"/>
                <w:sz w:val="24"/>
                <w:szCs w:val="24"/>
                <w:lang w:val="en-US" w:eastAsia="zh-CN"/>
              </w:rPr>
            </w:pPr>
          </w:p>
          <w:p>
            <w:pPr>
              <w:spacing w:line="240" w:lineRule="auto"/>
              <w:jc w:val="left"/>
              <w:rPr>
                <w:rFonts w:hint="eastAsia" w:ascii="宋体" w:hAnsi="宋体" w:eastAsia="宋体" w:cs="宋体"/>
                <w:sz w:val="24"/>
                <w:szCs w:val="24"/>
                <w:lang w:val="en-US" w:eastAsia="zh-CN"/>
              </w:rPr>
            </w:pPr>
          </w:p>
          <w:p>
            <w:pPr>
              <w:spacing w:line="240" w:lineRule="auto"/>
              <w:jc w:val="left"/>
              <w:rPr>
                <w:rFonts w:hint="eastAsia" w:ascii="宋体" w:hAnsi="宋体" w:eastAsia="宋体" w:cs="宋体"/>
                <w:sz w:val="24"/>
                <w:szCs w:val="24"/>
                <w:lang w:val="en-US" w:eastAsia="zh-CN"/>
              </w:rPr>
            </w:pPr>
          </w:p>
          <w:p>
            <w:pPr>
              <w:spacing w:line="240" w:lineRule="auto"/>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lang w:val="en-US" w:eastAsia="zh-CN"/>
              </w:rPr>
              <w:t>套</w:t>
            </w:r>
          </w:p>
        </w:tc>
        <w:tc>
          <w:tcPr>
            <w:tcW w:w="745" w:type="dxa"/>
            <w:vAlign w:val="top"/>
          </w:tcPr>
          <w:p>
            <w:pPr>
              <w:ind w:left="0" w:leftChars="0" w:firstLine="0" w:firstLineChars="0"/>
              <w:jc w:val="center"/>
              <w:rPr>
                <w:rFonts w:hint="eastAsia" w:ascii="宋体" w:hAnsi="宋体" w:eastAsia="宋体" w:cs="宋体"/>
                <w:sz w:val="24"/>
                <w:szCs w:val="24"/>
              </w:rPr>
            </w:pPr>
          </w:p>
          <w:p>
            <w:pPr>
              <w:ind w:left="0" w:leftChars="0" w:firstLine="0" w:firstLineChars="0"/>
              <w:jc w:val="both"/>
              <w:rPr>
                <w:rFonts w:hint="eastAsia" w:ascii="宋体" w:hAnsi="宋体" w:eastAsia="宋体" w:cs="宋体"/>
                <w:sz w:val="24"/>
                <w:szCs w:val="24"/>
              </w:rPr>
            </w:pPr>
          </w:p>
          <w:p>
            <w:pPr>
              <w:pStyle w:val="3"/>
              <w:ind w:left="0" w:leftChars="0" w:firstLine="0" w:firstLineChars="0"/>
              <w:jc w:val="both"/>
              <w:rPr>
                <w:rFonts w:hint="eastAsia"/>
                <w:sz w:val="24"/>
                <w:szCs w:val="24"/>
              </w:rPr>
            </w:pPr>
          </w:p>
          <w:p>
            <w:pPr>
              <w:jc w:val="both"/>
              <w:rPr>
                <w:rFonts w:hint="eastAsia"/>
                <w:sz w:val="24"/>
                <w:szCs w:val="24"/>
              </w:rPr>
            </w:pPr>
          </w:p>
          <w:p>
            <w:pPr>
              <w:ind w:left="0" w:leftChars="0" w:firstLine="0" w:firstLineChars="0"/>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lang w:val="en-US" w:eastAsia="zh-CN"/>
              </w:rPr>
              <w:t>9</w:t>
            </w:r>
          </w:p>
        </w:tc>
        <w:tc>
          <w:tcPr>
            <w:tcW w:w="898" w:type="dxa"/>
          </w:tcPr>
          <w:p>
            <w:pPr>
              <w:pStyle w:val="7"/>
              <w:numPr>
                <w:ilvl w:val="0"/>
                <w:numId w:val="0"/>
              </w:numPr>
              <w:jc w:val="both"/>
              <w:rPr>
                <w:rFonts w:hint="eastAsia" w:ascii="宋体" w:hAnsi="宋体" w:eastAsia="宋体" w:cs="宋体"/>
                <w:color w:val="FF0000"/>
                <w:kern w:val="0"/>
                <w:sz w:val="28"/>
                <w:szCs w:val="24"/>
                <w:vertAlign w:val="baseline"/>
                <w:lang w:val="en-US" w:eastAsia="zh-CN" w:bidi="en-US"/>
                <w14:ligatures w14:val="none"/>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pPr>
              <w:pStyle w:val="7"/>
              <w:numPr>
                <w:ilvl w:val="0"/>
                <w:numId w:val="0"/>
              </w:numPr>
              <w:jc w:val="center"/>
              <w:rPr>
                <w:rFonts w:hint="eastAsia" w:ascii="宋体" w:hAnsi="宋体" w:eastAsia="宋体" w:cs="宋体"/>
                <w:color w:val="000000"/>
                <w:kern w:val="0"/>
                <w:sz w:val="24"/>
                <w:szCs w:val="24"/>
                <w:lang w:val="en-US" w:eastAsia="zh-CN" w:bidi="en-US"/>
                <w14:ligatures w14:val="none"/>
              </w:rPr>
            </w:pPr>
          </w:p>
          <w:p>
            <w:pPr>
              <w:pStyle w:val="7"/>
              <w:numPr>
                <w:ilvl w:val="0"/>
                <w:numId w:val="0"/>
              </w:numPr>
              <w:jc w:val="center"/>
              <w:rPr>
                <w:rFonts w:hint="eastAsia" w:ascii="宋体" w:hAnsi="宋体" w:eastAsia="宋体" w:cs="宋体"/>
                <w:color w:val="000000"/>
                <w:kern w:val="0"/>
                <w:sz w:val="24"/>
                <w:szCs w:val="24"/>
                <w:lang w:val="en-US" w:eastAsia="zh-CN" w:bidi="en-US"/>
                <w14:ligatures w14:val="none"/>
              </w:rPr>
            </w:pPr>
          </w:p>
          <w:p>
            <w:pPr>
              <w:pStyle w:val="7"/>
              <w:numPr>
                <w:ilvl w:val="0"/>
                <w:numId w:val="0"/>
              </w:numPr>
              <w:jc w:val="center"/>
              <w:rPr>
                <w:rFonts w:hint="default" w:ascii="宋体" w:hAnsi="宋体" w:eastAsia="宋体" w:cs="宋体"/>
                <w:color w:val="000000"/>
                <w:kern w:val="0"/>
                <w:sz w:val="24"/>
                <w:szCs w:val="24"/>
                <w:lang w:val="en-US" w:eastAsia="zh-CN" w:bidi="en-US"/>
                <w14:ligatures w14:val="none"/>
              </w:rPr>
            </w:pPr>
            <w:r>
              <w:rPr>
                <w:rFonts w:hint="eastAsia" w:ascii="宋体" w:hAnsi="宋体" w:eastAsia="宋体" w:cs="宋体"/>
                <w:color w:val="000000"/>
                <w:kern w:val="0"/>
                <w:sz w:val="24"/>
                <w:szCs w:val="24"/>
                <w:lang w:val="en-US" w:eastAsia="zh-CN" w:bidi="en-US"/>
                <w14:ligatures w14:val="none"/>
              </w:rPr>
              <w:t>2</w:t>
            </w:r>
          </w:p>
        </w:tc>
        <w:tc>
          <w:tcPr>
            <w:tcW w:w="1092" w:type="dxa"/>
            <w:vAlign w:val="center"/>
          </w:tcPr>
          <w:p>
            <w:pPr>
              <w:spacing w:line="240" w:lineRule="auto"/>
              <w:jc w:val="left"/>
              <w:rPr>
                <w:rFonts w:hint="eastAsia" w:ascii="宋体" w:hAnsi="宋体" w:eastAsia="宋体" w:cs="宋体"/>
                <w:sz w:val="24"/>
                <w:szCs w:val="24"/>
              </w:rPr>
            </w:pPr>
          </w:p>
          <w:p>
            <w:pPr>
              <w:pStyle w:val="3"/>
              <w:jc w:val="both"/>
              <w:rPr>
                <w:rFonts w:hint="eastAsia"/>
              </w:rPr>
            </w:pPr>
          </w:p>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显示器</w:t>
            </w:r>
          </w:p>
          <w:p>
            <w:pPr>
              <w:spacing w:line="240" w:lineRule="auto"/>
              <w:jc w:val="left"/>
              <w:rPr>
                <w:rFonts w:hint="eastAsia" w:ascii="宋体" w:hAnsi="宋体" w:eastAsia="宋体" w:cs="宋体"/>
                <w:color w:val="FF0000"/>
                <w:kern w:val="0"/>
                <w:sz w:val="28"/>
                <w:szCs w:val="24"/>
                <w:vertAlign w:val="baseline"/>
                <w:lang w:val="en-US" w:eastAsia="zh-CN" w:bidi="en-US"/>
                <w14:ligatures w14:val="none"/>
              </w:rPr>
            </w:pPr>
          </w:p>
        </w:tc>
        <w:tc>
          <w:tcPr>
            <w:tcW w:w="5078" w:type="dxa"/>
            <w:vAlign w:val="center"/>
          </w:tcPr>
          <w:p>
            <w:pPr>
              <w:spacing w:line="240" w:lineRule="auto"/>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1、24寸液晶显示器</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.接口：能与主机连接，实现</w:t>
            </w:r>
            <w:r>
              <w:rPr>
                <w:rFonts w:hint="eastAsia" w:ascii="宋体" w:hAnsi="宋体" w:eastAsia="宋体" w:cs="宋体"/>
                <w:sz w:val="21"/>
                <w:szCs w:val="21"/>
                <w:lang w:val="en-US" w:eastAsia="zh-CN"/>
              </w:rPr>
              <w:t>2K</w:t>
            </w:r>
            <w:r>
              <w:rPr>
                <w:rFonts w:hint="eastAsia" w:ascii="宋体" w:hAnsi="宋体" w:eastAsia="宋体" w:cs="宋体"/>
                <w:sz w:val="21"/>
                <w:szCs w:val="21"/>
              </w:rPr>
              <w:t>的显示效果；98%sRGB色域覆盖</w:t>
            </w:r>
            <w:r>
              <w:rPr>
                <w:rFonts w:hint="eastAsia" w:ascii="宋体" w:hAnsi="宋体" w:eastAsia="宋体" w:cs="宋体"/>
                <w:sz w:val="21"/>
                <w:szCs w:val="21"/>
                <w:lang w:eastAsia="zh-CN"/>
              </w:rPr>
              <w:t>，</w:t>
            </w:r>
            <w:r>
              <w:rPr>
                <w:rFonts w:hint="eastAsia" w:ascii="宋体" w:hAnsi="宋体" w:eastAsia="宋体" w:cs="宋体"/>
                <w:sz w:val="21"/>
                <w:szCs w:val="21"/>
              </w:rPr>
              <w:t>具有VGA+HDMI接口</w:t>
            </w:r>
          </w:p>
          <w:p>
            <w:p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.物理分辨率：≥</w:t>
            </w:r>
            <w:r>
              <w:rPr>
                <w:rFonts w:hint="eastAsia" w:ascii="宋体" w:hAnsi="宋体" w:eastAsia="宋体" w:cs="宋体"/>
                <w:sz w:val="21"/>
                <w:szCs w:val="21"/>
                <w:lang w:val="en-US" w:eastAsia="zh-CN"/>
              </w:rPr>
              <w:t>2560</w:t>
            </w:r>
            <w:r>
              <w:rPr>
                <w:rFonts w:hint="eastAsia" w:ascii="宋体" w:hAnsi="宋体" w:eastAsia="宋体" w:cs="宋体"/>
                <w:sz w:val="21"/>
                <w:szCs w:val="21"/>
              </w:rPr>
              <w:t>x1</w:t>
            </w:r>
            <w:r>
              <w:rPr>
                <w:rFonts w:hint="eastAsia" w:ascii="宋体" w:hAnsi="宋体" w:eastAsia="宋体" w:cs="宋体"/>
                <w:sz w:val="21"/>
                <w:szCs w:val="21"/>
                <w:lang w:val="en-US" w:eastAsia="zh-CN"/>
              </w:rPr>
              <w:t>440</w:t>
            </w:r>
            <w:r>
              <w:rPr>
                <w:rFonts w:hint="eastAsia" w:ascii="宋体" w:hAnsi="宋体" w:eastAsia="宋体" w:cs="宋体"/>
                <w:sz w:val="21"/>
                <w:szCs w:val="21"/>
              </w:rPr>
              <w:t xml:space="preserve">   ≥ </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Hz刷新率；</w:t>
            </w:r>
          </w:p>
          <w:p>
            <w:pPr>
              <w:spacing w:line="240" w:lineRule="auto"/>
              <w:ind w:left="0" w:leftChars="0" w:firstLine="0" w:firstLineChars="0"/>
              <w:jc w:val="left"/>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1"/>
                <w:szCs w:val="21"/>
                <w:lang w:val="en-US" w:eastAsia="zh-CN"/>
              </w:rPr>
              <w:t>4</w:t>
            </w:r>
            <w:r>
              <w:rPr>
                <w:rFonts w:hint="eastAsia" w:ascii="宋体" w:hAnsi="宋体" w:eastAsia="宋体" w:cs="宋体"/>
                <w:sz w:val="21"/>
                <w:szCs w:val="21"/>
              </w:rPr>
              <w:t>.其他：IPS面板，俯仰角度调节（-5~+23°） 高度 100mm 可调，3面窄边框 ，通过TUV低蓝光护眼认证。</w:t>
            </w:r>
          </w:p>
        </w:tc>
        <w:tc>
          <w:tcPr>
            <w:tcW w:w="758" w:type="dxa"/>
            <w:vAlign w:val="top"/>
          </w:tcPr>
          <w:p>
            <w:pPr>
              <w:spacing w:line="240" w:lineRule="auto"/>
              <w:jc w:val="left"/>
              <w:rPr>
                <w:rFonts w:hint="eastAsia" w:ascii="宋体" w:hAnsi="宋体" w:eastAsia="宋体" w:cs="宋体"/>
                <w:sz w:val="24"/>
                <w:szCs w:val="24"/>
                <w:lang w:val="en-US" w:eastAsia="zh-CN"/>
              </w:rPr>
            </w:pPr>
          </w:p>
          <w:p>
            <w:pPr>
              <w:spacing w:line="240" w:lineRule="auto"/>
              <w:ind w:left="0" w:leftChars="0" w:firstLine="273" w:firstLineChars="114"/>
              <w:jc w:val="left"/>
              <w:rPr>
                <w:rFonts w:hint="eastAsia" w:ascii="宋体" w:hAnsi="宋体" w:eastAsia="宋体" w:cs="宋体"/>
                <w:sz w:val="24"/>
                <w:szCs w:val="24"/>
                <w:lang w:val="en-US" w:eastAsia="zh-CN"/>
              </w:rPr>
            </w:pPr>
          </w:p>
          <w:p>
            <w:pPr>
              <w:spacing w:line="240" w:lineRule="auto"/>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lang w:val="en-US" w:eastAsia="zh-CN"/>
              </w:rPr>
              <w:t>台</w:t>
            </w:r>
          </w:p>
        </w:tc>
        <w:tc>
          <w:tcPr>
            <w:tcW w:w="745" w:type="dxa"/>
            <w:vAlign w:val="top"/>
          </w:tcPr>
          <w:p>
            <w:pPr>
              <w:spacing w:line="240" w:lineRule="auto"/>
              <w:jc w:val="left"/>
              <w:rPr>
                <w:rFonts w:hint="eastAsia" w:ascii="宋体" w:hAnsi="宋体" w:eastAsia="宋体" w:cs="宋体"/>
                <w:sz w:val="24"/>
                <w:szCs w:val="24"/>
              </w:rPr>
            </w:pPr>
          </w:p>
          <w:p>
            <w:pPr>
              <w:spacing w:line="240" w:lineRule="auto"/>
              <w:ind w:left="0" w:leftChars="0" w:firstLine="273" w:firstLineChars="114"/>
              <w:jc w:val="left"/>
              <w:rPr>
                <w:rFonts w:hint="eastAsia" w:ascii="宋体" w:hAnsi="宋体" w:eastAsia="宋体" w:cs="宋体"/>
                <w:sz w:val="24"/>
                <w:szCs w:val="24"/>
              </w:rPr>
            </w:pPr>
          </w:p>
          <w:p>
            <w:pPr>
              <w:spacing w:line="240" w:lineRule="auto"/>
              <w:jc w:val="center"/>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lang w:val="en-US" w:eastAsia="zh-CN"/>
              </w:rPr>
              <w:t>9</w:t>
            </w:r>
          </w:p>
        </w:tc>
        <w:tc>
          <w:tcPr>
            <w:tcW w:w="898" w:type="dxa"/>
            <w:vAlign w:val="top"/>
          </w:tcPr>
          <w:p>
            <w:pPr>
              <w:pStyle w:val="5"/>
              <w:ind w:left="0" w:leftChars="0" w:firstLine="0" w:firstLineChars="0"/>
              <w:jc w:val="both"/>
              <w:rPr>
                <w:rFonts w:hint="eastAsia" w:ascii="宋体" w:hAnsi="宋体" w:eastAsia="宋体" w:cs="宋体"/>
                <w:color w:val="FF0000"/>
                <w:kern w:val="0"/>
                <w:sz w:val="28"/>
                <w:szCs w:val="24"/>
                <w:vertAlign w:val="baseline"/>
                <w:lang w:val="en-US" w:eastAsia="zh-CN" w:bidi="en-US"/>
                <w14:ligatures w14:val="none"/>
              </w:rPr>
            </w:pPr>
            <w:r>
              <w:rPr>
                <w:rFonts w:hint="eastAsia" w:ascii="宋体" w:hAnsi="宋体" w:eastAsia="宋体"/>
                <w:sz w:val="24"/>
                <w:szCs w:val="24"/>
                <w:lang w:val="en-US" w:eastAsia="zh-CN"/>
              </w:rPr>
              <w:t xml:space="preserve">联想 惠普 </w:t>
            </w:r>
            <w:r>
              <w:rPr>
                <w:rFonts w:hint="eastAsia" w:ascii="宋体" w:hAnsi="宋体" w:eastAsia="宋体" w:cs="宋体"/>
                <w:sz w:val="24"/>
                <w:szCs w:val="24"/>
              </w:rPr>
              <w:t>飞利普</w:t>
            </w:r>
            <w:r>
              <w:rPr>
                <w:rFonts w:hint="eastAsia" w:ascii="宋体" w:hAnsi="宋体" w:eastAsia="宋体" w:cs="宋体"/>
                <w:sz w:val="24"/>
                <w:szCs w:val="24"/>
                <w:lang w:val="en-US" w:eastAsia="zh-CN"/>
              </w:rPr>
              <w:t xml:space="preserve"> dell 三星 AOC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tcPr>
          <w:p>
            <w:pPr>
              <w:pStyle w:val="7"/>
              <w:numPr>
                <w:ilvl w:val="0"/>
                <w:numId w:val="0"/>
              </w:numPr>
              <w:jc w:val="center"/>
              <w:rPr>
                <w:rFonts w:hint="eastAsia" w:ascii="宋体" w:hAnsi="宋体" w:eastAsia="宋体" w:cs="宋体"/>
                <w:color w:val="000000"/>
                <w:kern w:val="0"/>
                <w:sz w:val="24"/>
                <w:szCs w:val="24"/>
                <w:lang w:val="en-US" w:eastAsia="zh-CN" w:bidi="en-US"/>
                <w14:ligatures w14:val="none"/>
              </w:rPr>
            </w:pPr>
          </w:p>
          <w:p>
            <w:pPr>
              <w:pStyle w:val="7"/>
              <w:numPr>
                <w:ilvl w:val="0"/>
                <w:numId w:val="0"/>
              </w:numPr>
              <w:jc w:val="center"/>
              <w:rPr>
                <w:rFonts w:hint="default" w:ascii="宋体" w:hAnsi="宋体" w:eastAsia="宋体" w:cs="宋体"/>
                <w:color w:val="000000"/>
                <w:kern w:val="0"/>
                <w:sz w:val="24"/>
                <w:szCs w:val="24"/>
                <w:lang w:val="en-US" w:eastAsia="zh-CN" w:bidi="en-US"/>
                <w14:ligatures w14:val="none"/>
              </w:rPr>
            </w:pPr>
            <w:r>
              <w:rPr>
                <w:rFonts w:hint="eastAsia" w:ascii="宋体" w:hAnsi="宋体" w:eastAsia="宋体" w:cs="宋体"/>
                <w:color w:val="000000"/>
                <w:kern w:val="0"/>
                <w:sz w:val="24"/>
                <w:szCs w:val="24"/>
                <w:lang w:val="en-US" w:eastAsia="zh-CN" w:bidi="en-US"/>
                <w14:ligatures w14:val="none"/>
              </w:rPr>
              <w:t>3</w:t>
            </w:r>
          </w:p>
        </w:tc>
        <w:tc>
          <w:tcPr>
            <w:tcW w:w="1092" w:type="dxa"/>
            <w:vMerge w:val="restart"/>
            <w:vAlign w:val="center"/>
          </w:tcPr>
          <w:p>
            <w:pPr>
              <w:spacing w:line="240" w:lineRule="auto"/>
              <w:jc w:val="left"/>
              <w:rPr>
                <w:rFonts w:hint="default" w:ascii="宋体" w:hAnsi="宋体" w:eastAsia="宋体" w:cs="宋体"/>
                <w:color w:val="FF0000"/>
                <w:kern w:val="0"/>
                <w:sz w:val="28"/>
                <w:szCs w:val="24"/>
                <w:vertAlign w:val="baseline"/>
                <w:lang w:val="en-US" w:eastAsia="zh-CN" w:bidi="en-US"/>
                <w14:ligatures w14:val="none"/>
              </w:rPr>
            </w:pPr>
            <w:r>
              <w:rPr>
                <w:rFonts w:hint="eastAsia" w:ascii="宋体" w:hAnsi="宋体" w:eastAsia="宋体" w:cs="宋体"/>
                <w:sz w:val="24"/>
                <w:szCs w:val="24"/>
                <w:lang w:val="en-US" w:eastAsia="zh-CN"/>
              </w:rPr>
              <w:t>其他要求</w:t>
            </w:r>
          </w:p>
        </w:tc>
        <w:tc>
          <w:tcPr>
            <w:tcW w:w="7479" w:type="dxa"/>
            <w:gridSpan w:val="4"/>
            <w:vAlign w:val="center"/>
          </w:tcPr>
          <w:p>
            <w:pPr>
              <w:pStyle w:val="5"/>
              <w:ind w:left="0" w:leftChars="0" w:firstLine="210" w:firstLineChars="1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若投标响应技术参数</w:t>
            </w:r>
            <w:r>
              <w:rPr>
                <w:rFonts w:hint="eastAsia" w:ascii="宋体" w:eastAsia="宋体" w:cs="宋体"/>
                <w:sz w:val="21"/>
                <w:szCs w:val="21"/>
                <w:lang w:val="en-US" w:eastAsia="zh-CN"/>
              </w:rPr>
              <w:t>低于以上要求，按无效报价处理。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pStyle w:val="7"/>
              <w:numPr>
                <w:ilvl w:val="0"/>
                <w:numId w:val="0"/>
              </w:numPr>
              <w:jc w:val="center"/>
              <w:rPr>
                <w:rFonts w:hint="default" w:ascii="宋体" w:hAnsi="宋体" w:eastAsia="宋体" w:cs="宋体"/>
                <w:color w:val="000000"/>
                <w:kern w:val="0"/>
                <w:sz w:val="24"/>
                <w:szCs w:val="24"/>
                <w:lang w:val="en-US" w:eastAsia="zh-CN" w:bidi="en-US"/>
                <w14:ligatures w14:val="none"/>
              </w:rPr>
            </w:pPr>
          </w:p>
        </w:tc>
        <w:tc>
          <w:tcPr>
            <w:tcW w:w="1092" w:type="dxa"/>
            <w:vMerge w:val="continue"/>
            <w:vAlign w:val="center"/>
          </w:tcPr>
          <w:p>
            <w:pPr>
              <w:spacing w:line="240" w:lineRule="auto"/>
              <w:jc w:val="left"/>
              <w:rPr>
                <w:rFonts w:hint="default" w:ascii="宋体" w:hAnsi="宋体" w:eastAsia="宋体" w:cs="宋体"/>
                <w:color w:val="FF0000"/>
                <w:kern w:val="0"/>
                <w:sz w:val="28"/>
                <w:szCs w:val="24"/>
                <w:vertAlign w:val="baseline"/>
                <w:lang w:val="en-US" w:eastAsia="zh-CN" w:bidi="en-US"/>
                <w14:ligatures w14:val="none"/>
              </w:rPr>
            </w:pPr>
          </w:p>
        </w:tc>
        <w:tc>
          <w:tcPr>
            <w:tcW w:w="7479" w:type="dxa"/>
            <w:gridSpan w:val="4"/>
            <w:vAlign w:val="center"/>
          </w:tcPr>
          <w:p>
            <w:pPr>
              <w:pStyle w:val="5"/>
              <w:ind w:left="0" w:leftChars="0" w:firstLine="211" w:firstLineChars="100"/>
              <w:jc w:val="both"/>
              <w:rPr>
                <w:rFonts w:hint="eastAsia" w:ascii="宋体" w:hAnsi="宋体" w:eastAsia="宋体"/>
                <w:sz w:val="24"/>
                <w:szCs w:val="24"/>
                <w:lang w:val="en-US" w:eastAsia="zh-CN"/>
              </w:rPr>
            </w:pPr>
            <w:r>
              <w:rPr>
                <w:rFonts w:hint="eastAsia" w:ascii="宋体" w:hAnsi="宋体" w:eastAsia="宋体" w:cs="宋体"/>
                <w:b/>
                <w:bCs/>
                <w:sz w:val="21"/>
                <w:szCs w:val="21"/>
                <w:lang w:val="en-US" w:eastAsia="zh-CN"/>
              </w:rPr>
              <w:t>以上参数为本次设备采购的最低配置要求，货到验收时，发现供应商提供的产品某项配置低于上述采购要求，供应商则无条件更换至验收合格的产品，若供应商不更换或更换不及时，采购人有权拒绝支付所有合同款且把供应商列入失信名单，3年内不得参加龙游县通途交通建设工程有限公司的所有采购项目。</w:t>
            </w:r>
          </w:p>
        </w:tc>
      </w:tr>
    </w:tbl>
    <w:p>
      <w:pPr>
        <w:pStyle w:val="2"/>
        <w:keepNext w:val="0"/>
        <w:keepLines w:val="0"/>
        <w:tabs>
          <w:tab w:val="left" w:pos="2985"/>
        </w:tabs>
        <w:spacing w:before="0" w:after="0" w:line="500" w:lineRule="exact"/>
        <w:ind w:firstLine="560" w:firstLineChars="200"/>
        <w:rPr>
          <w:rFonts w:hint="eastAsia" w:ascii="宋体" w:hAnsi="宋体" w:eastAsia="宋体" w:cs="宋体"/>
          <w:color w:val="auto"/>
          <w:kern w:val="0"/>
          <w:sz w:val="28"/>
          <w:szCs w:val="24"/>
          <w:lang w:val="en-US" w:eastAsia="zh-CN" w:bidi="en-US"/>
          <w14:ligatures w14:val="none"/>
        </w:rPr>
      </w:pPr>
      <w:r>
        <w:rPr>
          <w:rFonts w:hint="eastAsia" w:ascii="宋体" w:hAnsi="宋体" w:eastAsia="宋体" w:cs="宋体"/>
          <w:color w:val="auto"/>
          <w:kern w:val="0"/>
          <w:sz w:val="28"/>
          <w:szCs w:val="24"/>
          <w:lang w:val="en-US" w:eastAsia="zh-CN" w:bidi="en-US"/>
          <w14:ligatures w14:val="none"/>
        </w:rPr>
        <w:t>2、其他要求：</w:t>
      </w:r>
      <w:bookmarkStart w:id="2" w:name="_GoBack"/>
      <w:bookmarkEnd w:id="2"/>
    </w:p>
    <w:p>
      <w:pPr>
        <w:keepNext w:val="0"/>
        <w:keepLines w:val="0"/>
        <w:pageBreakBefore w:val="0"/>
        <w:kinsoku/>
        <w:wordWrap/>
        <w:topLinePunct w:val="0"/>
        <w:bidi w:val="0"/>
        <w:spacing w:line="360" w:lineRule="auto"/>
        <w:ind w:firstLine="480" w:firstLineChars="200"/>
        <w:rPr>
          <w:rFonts w:hint="eastAsia" w:ascii="宋体" w:hAnsi="宋体" w:eastAsia="宋体" w:cs="宋体"/>
          <w:b w:val="0"/>
          <w:bCs w:val="0"/>
          <w:color w:val="auto"/>
          <w:kern w:val="0"/>
          <w:sz w:val="24"/>
          <w:szCs w:val="24"/>
          <w:lang w:val="en-US" w:eastAsia="zh-CN" w:bidi="en-US"/>
          <w14:ligatures w14:val="none"/>
        </w:rPr>
      </w:pPr>
      <w:r>
        <w:rPr>
          <w:rFonts w:hint="eastAsia" w:ascii="宋体" w:hAnsi="宋体" w:eastAsia="宋体" w:cs="宋体"/>
          <w:b w:val="0"/>
          <w:bCs w:val="0"/>
          <w:color w:val="auto"/>
          <w:kern w:val="0"/>
          <w:sz w:val="24"/>
          <w:szCs w:val="24"/>
          <w:lang w:val="en-US" w:eastAsia="zh-CN" w:bidi="en-US"/>
          <w14:ligatures w14:val="none"/>
        </w:rPr>
        <w:t>2.1中标单位所供的货物必须为全新的，符合国家标准的合格产品；</w:t>
      </w:r>
    </w:p>
    <w:p>
      <w:pPr>
        <w:keepNext w:val="0"/>
        <w:keepLines w:val="0"/>
        <w:pageBreakBefore w:val="0"/>
        <w:kinsoku/>
        <w:wordWrap/>
        <w:topLinePunct w:val="0"/>
        <w:bidi w:val="0"/>
        <w:spacing w:line="360" w:lineRule="auto"/>
        <w:ind w:firstLine="480" w:firstLineChars="200"/>
        <w:rPr>
          <w:rFonts w:hint="eastAsia" w:ascii="宋体" w:hAnsi="宋体" w:eastAsia="宋体" w:cs="宋体"/>
          <w:b w:val="0"/>
          <w:bCs w:val="0"/>
          <w:color w:val="auto"/>
          <w:kern w:val="0"/>
          <w:sz w:val="24"/>
          <w:szCs w:val="24"/>
          <w:lang w:val="en-US" w:eastAsia="zh-CN" w:bidi="en-US"/>
          <w14:ligatures w14:val="none"/>
        </w:rPr>
      </w:pPr>
      <w:r>
        <w:rPr>
          <w:rFonts w:hint="eastAsia" w:ascii="宋体" w:hAnsi="宋体" w:eastAsia="宋体" w:cs="宋体"/>
          <w:b w:val="0"/>
          <w:bCs w:val="0"/>
          <w:color w:val="auto"/>
          <w:kern w:val="0"/>
          <w:sz w:val="24"/>
          <w:szCs w:val="24"/>
          <w:lang w:val="en-US" w:eastAsia="zh-CN" w:bidi="en-US"/>
          <w14:ligatures w14:val="none"/>
        </w:rPr>
        <w:t>2.2投标人保证，采购人在中华人民共和国境内因使用本招标项目产品和服务中的任何一部分时，采购人免受第三方提出的侵犯其专利权、商标权或其它知识产权的起诉。若出现以上情况，所有责任由投标人承担；</w:t>
      </w:r>
    </w:p>
    <w:p>
      <w:pPr>
        <w:keepNext w:val="0"/>
        <w:keepLines w:val="0"/>
        <w:pageBreakBefore w:val="0"/>
        <w:kinsoku/>
        <w:wordWrap/>
        <w:topLinePunct w:val="0"/>
        <w:bidi w:val="0"/>
        <w:spacing w:line="360" w:lineRule="auto"/>
        <w:ind w:firstLine="480" w:firstLineChars="200"/>
        <w:rPr>
          <w:rFonts w:hint="eastAsia" w:ascii="宋体" w:hAnsi="宋体" w:eastAsia="宋体" w:cs="宋体"/>
          <w:b w:val="0"/>
          <w:bCs w:val="0"/>
          <w:color w:val="auto"/>
          <w:kern w:val="0"/>
          <w:sz w:val="24"/>
          <w:szCs w:val="24"/>
          <w:lang w:val="en-US" w:eastAsia="zh-CN" w:bidi="en-US"/>
          <w14:ligatures w14:val="none"/>
        </w:rPr>
      </w:pPr>
      <w:r>
        <w:rPr>
          <w:rFonts w:hint="eastAsia" w:ascii="宋体" w:hAnsi="宋体" w:eastAsia="宋体" w:cs="宋体"/>
          <w:b w:val="0"/>
          <w:bCs w:val="0"/>
          <w:color w:val="auto"/>
          <w:kern w:val="0"/>
          <w:sz w:val="24"/>
          <w:szCs w:val="24"/>
          <w:lang w:val="en-US" w:eastAsia="zh-CN" w:bidi="en-US"/>
          <w14:ligatures w14:val="none"/>
        </w:rPr>
        <w:t>2.3投标价格应包括所有应支付的对专利权、版权、设计或其他因知识产权而需要向其他方支付的税费；</w:t>
      </w:r>
    </w:p>
    <w:p>
      <w:pPr>
        <w:keepNext w:val="0"/>
        <w:keepLines w:val="0"/>
        <w:pageBreakBefore w:val="0"/>
        <w:kinsoku/>
        <w:wordWrap/>
        <w:topLinePunct w:val="0"/>
        <w:bidi w:val="0"/>
        <w:spacing w:line="360" w:lineRule="auto"/>
        <w:ind w:firstLine="480" w:firstLineChars="200"/>
        <w:rPr>
          <w:rFonts w:hint="eastAsia" w:ascii="宋体" w:hAnsi="宋体" w:eastAsia="宋体" w:cs="宋体"/>
          <w:b w:val="0"/>
          <w:bCs w:val="0"/>
          <w:color w:val="auto"/>
          <w:kern w:val="0"/>
          <w:sz w:val="24"/>
          <w:szCs w:val="24"/>
          <w:lang w:val="en-US" w:eastAsia="zh-CN" w:bidi="en-US"/>
          <w14:ligatures w14:val="none"/>
        </w:rPr>
      </w:pPr>
      <w:r>
        <w:rPr>
          <w:rFonts w:hint="eastAsia" w:ascii="宋体" w:hAnsi="宋体" w:eastAsia="宋体" w:cs="宋体"/>
          <w:b w:val="0"/>
          <w:bCs w:val="0"/>
          <w:color w:val="auto"/>
          <w:kern w:val="0"/>
          <w:sz w:val="24"/>
          <w:szCs w:val="24"/>
          <w:lang w:val="en-US" w:eastAsia="zh-CN" w:bidi="en-US"/>
          <w14:ligatures w14:val="none"/>
        </w:rPr>
        <w:t>2.4由中标单位负责将货物运送至采购人指定的地点；</w:t>
      </w:r>
    </w:p>
    <w:p>
      <w:pPr>
        <w:keepNext w:val="0"/>
        <w:keepLines w:val="0"/>
        <w:pageBreakBefore w:val="0"/>
        <w:kinsoku/>
        <w:wordWrap/>
        <w:topLinePunct w:val="0"/>
        <w:bidi w:val="0"/>
        <w:spacing w:line="360" w:lineRule="auto"/>
        <w:ind w:firstLine="480" w:firstLineChars="200"/>
        <w:rPr>
          <w:rFonts w:hint="eastAsia" w:ascii="宋体" w:hAnsi="宋体" w:eastAsia="宋体" w:cs="宋体"/>
          <w:b w:val="0"/>
          <w:bCs w:val="0"/>
          <w:color w:val="auto"/>
          <w:kern w:val="0"/>
          <w:sz w:val="24"/>
          <w:szCs w:val="24"/>
          <w:lang w:val="en-US" w:eastAsia="zh-CN" w:bidi="en-US"/>
          <w14:ligatures w14:val="none"/>
        </w:rPr>
      </w:pPr>
      <w:r>
        <w:rPr>
          <w:rFonts w:hint="eastAsia" w:ascii="宋体" w:hAnsi="宋体" w:eastAsia="宋体" w:cs="宋体"/>
          <w:b w:val="0"/>
          <w:bCs w:val="0"/>
          <w:color w:val="auto"/>
          <w:kern w:val="0"/>
          <w:sz w:val="24"/>
          <w:szCs w:val="24"/>
          <w:lang w:val="en-US" w:eastAsia="zh-CN" w:bidi="en-US"/>
          <w14:ligatures w14:val="none"/>
        </w:rPr>
        <w:t>2.5中标单位所提供的货物必须是符合需求的合法产品，且符合质量检测标准，杜绝三无、假冒和走私产品。中标单位使用</w:t>
      </w:r>
      <w:bookmarkStart w:id="1" w:name="OLE_LINK7"/>
      <w:r>
        <w:rPr>
          <w:rFonts w:hint="eastAsia" w:ascii="宋体" w:hAnsi="宋体" w:eastAsia="宋体" w:cs="宋体"/>
          <w:b w:val="0"/>
          <w:bCs w:val="0"/>
          <w:color w:val="auto"/>
          <w:kern w:val="0"/>
          <w:sz w:val="24"/>
          <w:szCs w:val="24"/>
          <w:lang w:val="en-US" w:eastAsia="zh-CN" w:bidi="en-US"/>
          <w14:ligatures w14:val="none"/>
        </w:rPr>
        <w:t>产品</w:t>
      </w:r>
      <w:bookmarkEnd w:id="1"/>
      <w:r>
        <w:rPr>
          <w:rFonts w:hint="eastAsia" w:ascii="宋体" w:hAnsi="宋体" w:eastAsia="宋体" w:cs="宋体"/>
          <w:b w:val="0"/>
          <w:bCs w:val="0"/>
          <w:color w:val="auto"/>
          <w:kern w:val="0"/>
          <w:sz w:val="24"/>
          <w:szCs w:val="24"/>
          <w:lang w:val="en-US" w:eastAsia="zh-CN" w:bidi="en-US"/>
          <w14:ligatures w14:val="none"/>
        </w:rPr>
        <w:t>必须具有质量保证书，或符合规定做的试验资料报告。严禁使用质量不合格或不符合设计要求的产品，否则中标单位必须承担由此产生的一切责任。</w:t>
      </w:r>
    </w:p>
    <w:p>
      <w:pPr>
        <w:pStyle w:val="5"/>
        <w:numPr>
          <w:ilvl w:val="0"/>
          <w:numId w:val="1"/>
        </w:numPr>
        <w:ind w:left="0" w:leftChars="0" w:firstLine="0" w:firstLineChars="0"/>
        <w:rPr>
          <w:rFonts w:hint="eastAsia" w:ascii="宋体"/>
          <w:color w:val="auto"/>
          <w:szCs w:val="28"/>
        </w:rPr>
      </w:pPr>
      <w:r>
        <w:rPr>
          <w:rFonts w:hint="eastAsia" w:ascii="宋体" w:hAnsi="宋体" w:eastAsia="宋体" w:cs="宋体"/>
          <w:b/>
          <w:bCs/>
          <w:color w:val="auto"/>
          <w:kern w:val="0"/>
          <w:sz w:val="28"/>
          <w:szCs w:val="28"/>
          <w:lang w:val="en-US" w:eastAsia="zh-CN" w:bidi="en-US"/>
          <w14:ligatures w14:val="none"/>
        </w:rPr>
        <w:t>预算与资金来源</w:t>
      </w:r>
      <w:r>
        <w:rPr>
          <w:rFonts w:hint="eastAsia" w:ascii="宋体"/>
          <w:color w:val="auto"/>
          <w:szCs w:val="28"/>
        </w:rPr>
        <w:t xml:space="preserve"> </w:t>
      </w:r>
    </w:p>
    <w:p>
      <w:pPr>
        <w:keepNext w:val="0"/>
        <w:keepLines w:val="0"/>
        <w:pageBreakBefore w:val="0"/>
        <w:kinsoku/>
        <w:wordWrap/>
        <w:topLinePunct w:val="0"/>
        <w:bidi w:val="0"/>
        <w:spacing w:line="360" w:lineRule="auto"/>
        <w:ind w:firstLine="480" w:firstLineChars="200"/>
        <w:rPr>
          <w:rFonts w:hint="eastAsia" w:ascii="宋体" w:hAnsi="宋体" w:eastAsia="宋体" w:cs="宋体"/>
          <w:b w:val="0"/>
          <w:bCs w:val="0"/>
          <w:color w:val="auto"/>
          <w:kern w:val="0"/>
          <w:sz w:val="24"/>
          <w:szCs w:val="24"/>
          <w:lang w:val="en-US" w:eastAsia="zh-CN" w:bidi="en-US"/>
          <w14:ligatures w14:val="none"/>
        </w:rPr>
      </w:pPr>
      <w:r>
        <w:rPr>
          <w:rFonts w:hint="eastAsia" w:ascii="宋体" w:hAnsi="宋体" w:eastAsia="宋体" w:cs="宋体"/>
          <w:b w:val="0"/>
          <w:bCs w:val="0"/>
          <w:color w:val="auto"/>
          <w:kern w:val="0"/>
          <w:sz w:val="24"/>
          <w:szCs w:val="24"/>
          <w:lang w:val="en-US" w:eastAsia="zh-CN" w:bidi="en-US"/>
          <w14:ligatures w14:val="none"/>
        </w:rPr>
        <w:t>1、总预算金额：40500元（单价限价：4500元/台）；</w:t>
      </w:r>
    </w:p>
    <w:p>
      <w:pPr>
        <w:keepNext w:val="0"/>
        <w:keepLines w:val="0"/>
        <w:pageBreakBefore w:val="0"/>
        <w:kinsoku/>
        <w:wordWrap/>
        <w:topLinePunct w:val="0"/>
        <w:bidi w:val="0"/>
        <w:spacing w:line="360" w:lineRule="auto"/>
        <w:ind w:firstLine="480" w:firstLineChars="200"/>
        <w:rPr>
          <w:rFonts w:hint="eastAsia" w:ascii="宋体" w:hAnsi="宋体" w:eastAsia="宋体" w:cs="宋体"/>
          <w:b w:val="0"/>
          <w:bCs w:val="0"/>
          <w:color w:val="auto"/>
          <w:kern w:val="0"/>
          <w:sz w:val="24"/>
          <w:szCs w:val="24"/>
          <w:lang w:val="en-US" w:eastAsia="zh-CN" w:bidi="en-US"/>
          <w14:ligatures w14:val="none"/>
        </w:rPr>
      </w:pPr>
      <w:r>
        <w:rPr>
          <w:rFonts w:hint="eastAsia" w:ascii="宋体" w:hAnsi="宋体" w:eastAsia="宋体" w:cs="宋体"/>
          <w:b w:val="0"/>
          <w:bCs w:val="0"/>
          <w:color w:val="auto"/>
          <w:kern w:val="0"/>
          <w:sz w:val="24"/>
          <w:szCs w:val="24"/>
          <w:lang w:val="en-US" w:eastAsia="zh-CN" w:bidi="en-US"/>
          <w14:ligatures w14:val="none"/>
        </w:rPr>
        <w:t>2、资金来源：公司自筹。</w:t>
      </w:r>
    </w:p>
    <w:p>
      <w:pPr>
        <w:numPr>
          <w:ilvl w:val="0"/>
          <w:numId w:val="1"/>
        </w:numPr>
        <w:ind w:left="0" w:leftChars="0" w:right="210" w:rightChars="100" w:firstLine="0" w:firstLineChars="0"/>
        <w:jc w:val="both"/>
        <w:rPr>
          <w:rFonts w:hint="eastAsia" w:ascii="宋体" w:hAnsi="宋体" w:eastAsia="宋体" w:cs="宋体"/>
          <w:b/>
          <w:bCs/>
          <w:color w:val="auto"/>
          <w:kern w:val="0"/>
          <w:sz w:val="28"/>
          <w:szCs w:val="28"/>
          <w:lang w:val="en-US" w:eastAsia="zh-CN" w:bidi="en-US"/>
          <w14:ligatures w14:val="none"/>
        </w:rPr>
      </w:pPr>
      <w:r>
        <w:rPr>
          <w:rFonts w:hint="eastAsia" w:ascii="宋体" w:hAnsi="宋体" w:eastAsia="宋体" w:cs="宋体"/>
          <w:b/>
          <w:bCs/>
          <w:color w:val="auto"/>
          <w:kern w:val="0"/>
          <w:sz w:val="28"/>
          <w:szCs w:val="28"/>
          <w:lang w:val="en-US" w:eastAsia="zh-CN" w:bidi="en-US"/>
          <w14:ligatures w14:val="none"/>
        </w:rPr>
        <w:t xml:space="preserve">合同关键条款 </w:t>
      </w:r>
    </w:p>
    <w:p>
      <w:pPr>
        <w:keepNext w:val="0"/>
        <w:keepLines w:val="0"/>
        <w:pageBreakBefore w:val="0"/>
        <w:kinsoku/>
        <w:wordWrap/>
        <w:topLinePunct w:val="0"/>
        <w:bidi w:val="0"/>
        <w:spacing w:line="360" w:lineRule="auto"/>
        <w:ind w:firstLine="480" w:firstLineChars="200"/>
        <w:rPr>
          <w:rFonts w:hint="eastAsia" w:ascii="宋体" w:hAnsi="宋体" w:eastAsia="宋体" w:cs="宋体"/>
          <w:b w:val="0"/>
          <w:bCs w:val="0"/>
          <w:color w:val="auto"/>
          <w:kern w:val="0"/>
          <w:sz w:val="28"/>
          <w:szCs w:val="28"/>
          <w:lang w:val="en-US" w:eastAsia="zh-CN" w:bidi="en-US"/>
          <w14:ligatures w14:val="none"/>
        </w:rPr>
      </w:pPr>
      <w:r>
        <w:rPr>
          <w:rFonts w:hint="eastAsia" w:ascii="宋体" w:hAnsi="宋体" w:eastAsia="宋体" w:cs="宋体"/>
          <w:b w:val="0"/>
          <w:bCs w:val="0"/>
          <w:color w:val="auto"/>
          <w:kern w:val="0"/>
          <w:sz w:val="24"/>
          <w:szCs w:val="24"/>
          <w:lang w:val="en-US" w:eastAsia="zh-CN" w:bidi="en-US"/>
          <w14:ligatures w14:val="none"/>
        </w:rPr>
        <w:t>合同金额及资金支付方式：货到后采购人（或第三方）验收合格后30日内提供增值税（税点不少于3%）专用发票一次性结清。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36"/>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A7DE1"/>
    <w:multiLevelType w:val="singleLevel"/>
    <w:tmpl w:val="570A7DE1"/>
    <w:lvl w:ilvl="0" w:tentative="0">
      <w:start w:val="1"/>
      <w:numFmt w:val="decimal"/>
      <w:lvlText w:val="%1."/>
      <w:lvlJc w:val="left"/>
      <w:pPr>
        <w:tabs>
          <w:tab w:val="left" w:pos="312"/>
        </w:tabs>
      </w:pPr>
    </w:lvl>
  </w:abstractNum>
  <w:abstractNum w:abstractNumId="1">
    <w:nsid w:val="5DED99F2"/>
    <w:multiLevelType w:val="singleLevel"/>
    <w:tmpl w:val="5DED99F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248B7"/>
    <w:rsid w:val="0B4A15E9"/>
    <w:rsid w:val="0EAC1A53"/>
    <w:rsid w:val="152F1379"/>
    <w:rsid w:val="15F83442"/>
    <w:rsid w:val="1AB46609"/>
    <w:rsid w:val="2135502C"/>
    <w:rsid w:val="29D24C5F"/>
    <w:rsid w:val="2F550B8F"/>
    <w:rsid w:val="333A2653"/>
    <w:rsid w:val="432B483A"/>
    <w:rsid w:val="442E0ECF"/>
    <w:rsid w:val="4C723270"/>
    <w:rsid w:val="50314A57"/>
    <w:rsid w:val="518D7944"/>
    <w:rsid w:val="52F57E63"/>
    <w:rsid w:val="58037F2B"/>
    <w:rsid w:val="6C270A6A"/>
    <w:rsid w:val="744D4DE6"/>
    <w:rsid w:val="750668B5"/>
    <w:rsid w:val="7A1A28FE"/>
    <w:rsid w:val="7BDD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3">
    <w:name w:val="heading 6"/>
    <w:basedOn w:val="1"/>
    <w:next w:val="1"/>
    <w:unhideWhenUsed/>
    <w:qFormat/>
    <w:uiPriority w:val="9"/>
    <w:pPr>
      <w:keepNext/>
      <w:keepLines/>
      <w:spacing w:before="40"/>
      <w:outlineLvl w:val="5"/>
    </w:pPr>
    <w:rPr>
      <w:color w:val="244061"/>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unhideWhenUsed/>
    <w:qFormat/>
    <w:uiPriority w:val="99"/>
    <w:pPr>
      <w:spacing w:after="120"/>
    </w:pPr>
  </w:style>
  <w:style w:type="paragraph" w:styleId="5">
    <w:name w:val="Body Text First Indent"/>
    <w:basedOn w:val="4"/>
    <w:next w:val="1"/>
    <w:qFormat/>
    <w:uiPriority w:val="0"/>
    <w:pPr>
      <w:spacing w:after="0"/>
      <w:ind w:firstLine="420"/>
    </w:pPr>
    <w:rPr>
      <w:rFonts w:ascii="仿宋_GB2312" w:hAnsi="宋体" w:eastAsia="仿宋_GB2312" w:cs="宋体"/>
      <w:sz w:val="28"/>
      <w:szCs w:val="22"/>
      <w:lang w:eastAsia="zh-CN" w:bidi="ar-SA"/>
    </w:rPr>
  </w:style>
  <w:style w:type="paragraph" w:styleId="6">
    <w:name w:val="Body Text Indent 2"/>
    <w:basedOn w:val="1"/>
    <w:next w:val="7"/>
    <w:qFormat/>
    <w:uiPriority w:val="0"/>
    <w:pPr>
      <w:ind w:firstLine="624"/>
    </w:pPr>
    <w:rPr>
      <w:rFonts w:ascii="仿宋_GB2312" w:eastAsia="仿宋_GB2312"/>
      <w:sz w:val="28"/>
    </w:rPr>
  </w:style>
  <w:style w:type="paragraph" w:customStyle="1" w:styleId="7">
    <w:name w:val="z正文"/>
    <w:basedOn w:val="1"/>
    <w:qFormat/>
    <w:uiPriority w:val="0"/>
    <w:pPr>
      <w:tabs>
        <w:tab w:val="left" w:pos="525"/>
      </w:tabs>
      <w:snapToGrid w:val="0"/>
      <w:spacing w:line="360" w:lineRule="auto"/>
    </w:pPr>
    <w:rPr>
      <w:rFonts w:ascii="宋体" w:hAnsi="宋体" w:eastAsia="宋体"/>
      <w:szCs w:val="20"/>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toc 6"/>
    <w:basedOn w:val="1"/>
    <w:next w:val="1"/>
    <w:semiHidden/>
    <w:unhideWhenUsed/>
    <w:qFormat/>
    <w:uiPriority w:val="39"/>
    <w:pPr>
      <w:ind w:left="2100" w:leftChars="10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2025-07-28T16:17:00Z</dcterms:created>
  <dc:creator>Administrator</dc:creator>
  <cp:lastModifiedBy>Administrator</cp:lastModifiedBy>
  <dcterms:modified xsi:type="dcterms:W3CDTF">2025-09-08T03:06:32Z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eyJoZGlkIjoiNjViYTg4YTIzZmI4YWE3OWI5MzIyM2U4M2E2YjA2ZTMiLCJ1c2VySWQiOiIzNTkyOTkxNzQifQ==</vt:lpwstr>
  </property>
  <property fmtid="{D5CDD505-2E9C-101B-9397-08002B2CF9AE}" pid="4" name="ICV">
    <vt:lpwstr>AFED5F35B7F6412297A2943E224EB1C5_12</vt:lpwstr>
  </property>
</Properties>
</file>