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93"/>
        <w:rPr/>
      </w:pPr>
      <w:r/>
    </w:p>
    <w:tbl>
      <w:tblPr>
        <w:tblStyle w:val="TableNormal"/>
        <w:tblW w:w="9480" w:type="dxa"/>
        <w:tblInd w:w="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1558"/>
        <w:gridCol w:w="1249"/>
        <w:gridCol w:w="4905"/>
        <w:gridCol w:w="794"/>
      </w:tblGrid>
      <w:tr>
        <w:trPr>
          <w:trHeight w:val="594" w:hRule="atLeast"/>
        </w:trPr>
        <w:tc>
          <w:tcPr>
            <w:tcW w:w="9480" w:type="dxa"/>
            <w:vAlign w:val="top"/>
            <w:gridSpan w:val="5"/>
          </w:tcPr>
          <w:p>
            <w:pPr>
              <w:pStyle w:val="TableText"/>
              <w:ind w:left="2094"/>
              <w:spacing w:before="82" w:line="219" w:lineRule="auto"/>
              <w:rPr/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4086209</wp:posOffset>
                  </wp:positionH>
                  <wp:positionV relativeFrom="paragraph">
                    <wp:posOffset>-282444</wp:posOffset>
                  </wp:positionV>
                  <wp:extent cx="1505006" cy="1517667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05006" cy="1517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"/>
              </w:rPr>
              <w:t>龙游县交投集团龙腾公司龙游县2025年普通省道路基路面养护工程</w:t>
            </w:r>
            <w:r>
              <w:rPr/>
              <w:t>项目</w:t>
            </w:r>
          </w:p>
          <w:p>
            <w:pPr>
              <w:pStyle w:val="TableText"/>
              <w:ind w:left="3287"/>
              <w:spacing w:before="35" w:line="219" w:lineRule="auto"/>
              <w:rPr/>
            </w:pPr>
            <w:r>
              <w:rPr>
                <w:b/>
                <w:bCs/>
                <w:spacing w:val="-3"/>
              </w:rPr>
              <w:t>农民工工资专户开户银行评选评分办法</w:t>
            </w:r>
          </w:p>
        </w:tc>
      </w:tr>
      <w:tr>
        <w:trPr>
          <w:trHeight w:val="230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307"/>
              <w:spacing w:before="25" w:line="211" w:lineRule="auto"/>
              <w:rPr/>
            </w:pPr>
            <w:r>
              <w:rPr>
                <w:b/>
                <w:bCs/>
                <w:spacing w:val="12"/>
              </w:rPr>
              <w:t>项目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31"/>
              <w:spacing w:before="27" w:line="209" w:lineRule="auto"/>
              <w:rPr/>
            </w:pPr>
            <w:r>
              <w:rPr>
                <w:spacing w:val="2"/>
              </w:rPr>
              <w:t>审查内容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93"/>
              <w:spacing w:before="27" w:line="209" w:lineRule="auto"/>
              <w:rPr/>
            </w:pPr>
            <w:r>
              <w:rPr>
                <w:spacing w:val="3"/>
              </w:rPr>
              <w:t>要点及说明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2113"/>
              <w:spacing w:before="27" w:line="209" w:lineRule="auto"/>
              <w:rPr/>
            </w:pPr>
            <w:r>
              <w:rPr>
                <w:spacing w:val="-2"/>
              </w:rPr>
              <w:t>是否符合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18"/>
              <w:spacing w:before="29" w:line="207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610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55" w:line="219" w:lineRule="auto"/>
              <w:rPr/>
            </w:pPr>
            <w:r>
              <w:rPr>
                <w:b/>
                <w:bCs/>
                <w:spacing w:val="-5"/>
              </w:rPr>
              <w:t>资格审查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spacing w:before="28" w:line="217" w:lineRule="auto"/>
              <w:jc w:val="right"/>
              <w:rPr/>
            </w:pPr>
            <w:r>
              <w:rPr>
                <w:spacing w:val="-3"/>
              </w:rPr>
              <w:t>具有独立法人资格，</w:t>
            </w:r>
          </w:p>
          <w:p>
            <w:pPr>
              <w:pStyle w:val="TableText"/>
              <w:spacing w:line="196" w:lineRule="auto"/>
              <w:rPr/>
            </w:pPr>
            <w:r>
              <w:rPr>
                <w:spacing w:val="1"/>
              </w:rPr>
              <w:t>具备银行开户服务资</w:t>
            </w:r>
          </w:p>
          <w:p>
            <w:pPr>
              <w:pStyle w:val="TableText"/>
              <w:ind w:left="610"/>
              <w:spacing w:line="208" w:lineRule="auto"/>
              <w:rPr/>
            </w:pPr>
            <w:r>
              <w:rPr>
                <w:spacing w:val="-2"/>
              </w:rPr>
              <w:t>质。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33" w:firstLine="69"/>
              <w:spacing w:before="36" w:line="204" w:lineRule="auto"/>
              <w:tabs>
                <w:tab w:val="left" w:pos="131"/>
              </w:tabs>
              <w:rPr/>
            </w:pPr>
            <w:r>
              <w:rPr>
                <w:spacing w:val="-3"/>
              </w:rPr>
              <w:t>提供证明证件</w:t>
            </w:r>
            <w:r>
              <w:rPr>
                <w:spacing w:val="1"/>
              </w:rPr>
              <w:t xml:space="preserve">  </w:t>
            </w:r>
            <w:r>
              <w:rPr/>
              <w:tab/>
            </w:r>
            <w:r>
              <w:rPr/>
              <w:t>(提供营业执照 </w:t>
            </w:r>
            <w:r>
              <w:rPr>
                <w:spacing w:val="3"/>
              </w:rPr>
              <w:t>和金融许可证)</w:t>
            </w:r>
          </w:p>
        </w:tc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10" w:right="22" w:hanging="510"/>
              <w:spacing w:before="58" w:line="212" w:lineRule="auto"/>
              <w:rPr/>
            </w:pPr>
            <w:r>
              <w:rPr>
                <w:spacing w:val="-1"/>
              </w:rPr>
              <w:t>在项目所在地设有分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支机构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02"/>
              <w:spacing w:before="146" w:line="219" w:lineRule="auto"/>
              <w:rPr/>
            </w:pPr>
            <w:r>
              <w:rPr>
                <w:spacing w:val="-2"/>
              </w:rPr>
              <w:t>提供证明证件</w:t>
            </w:r>
          </w:p>
        </w:tc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9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spacing w:before="18" w:line="207" w:lineRule="auto"/>
              <w:jc w:val="right"/>
              <w:rPr/>
            </w:pPr>
            <w:r>
              <w:rPr>
                <w:spacing w:val="-3"/>
              </w:rPr>
              <w:t>依法开展经营活动，</w:t>
            </w:r>
          </w:p>
          <w:p>
            <w:pPr>
              <w:pStyle w:val="TableText"/>
              <w:ind w:left="70"/>
              <w:spacing w:line="218" w:lineRule="auto"/>
              <w:rPr/>
            </w:pPr>
            <w:r>
              <w:rPr>
                <w:spacing w:val="-1"/>
              </w:rPr>
              <w:t>近3年内在经营活动</w:t>
            </w:r>
          </w:p>
          <w:p>
            <w:pPr>
              <w:pStyle w:val="TableText"/>
              <w:spacing w:line="220" w:lineRule="auto"/>
              <w:rPr/>
            </w:pPr>
            <w:r>
              <w:rPr/>
              <w:t>中无重大违法违规记</w:t>
            </w:r>
          </w:p>
          <w:p>
            <w:pPr>
              <w:pStyle w:val="TableText"/>
              <w:ind w:left="90"/>
              <w:spacing w:before="6" w:line="219" w:lineRule="auto"/>
              <w:rPr/>
            </w:pPr>
            <w:r>
              <w:rPr>
                <w:spacing w:val="-1"/>
              </w:rPr>
              <w:t>录及重大违约事件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102"/>
              <w:spacing w:before="278" w:line="217" w:lineRule="auto"/>
              <w:rPr/>
            </w:pPr>
            <w:r>
              <w:rPr>
                <w:spacing w:val="-2"/>
              </w:rPr>
              <w:t>提供证明资料</w:t>
            </w:r>
          </w:p>
          <w:p>
            <w:pPr>
              <w:pStyle w:val="TableText"/>
              <w:ind w:left="102"/>
              <w:spacing w:line="218" w:lineRule="auto"/>
              <w:rPr/>
            </w:pPr>
            <w:r>
              <w:rPr>
                <w:spacing w:val="5"/>
              </w:rPr>
              <w:t>(提供承诺函)</w:t>
            </w:r>
          </w:p>
        </w:tc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532" w:type="dxa"/>
            <w:vAlign w:val="top"/>
            <w:gridSpan w:val="2"/>
          </w:tcPr>
          <w:p>
            <w:pPr>
              <w:pStyle w:val="TableText"/>
              <w:ind w:left="917"/>
              <w:spacing w:before="68" w:line="220" w:lineRule="auto"/>
              <w:rPr/>
            </w:pPr>
            <w:r>
              <w:rPr>
                <w:b/>
                <w:bCs/>
                <w:spacing w:val="5"/>
              </w:rPr>
              <w:t>评分项目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445"/>
              <w:spacing w:before="67" w:line="219" w:lineRule="auto"/>
              <w:rPr/>
            </w:pPr>
            <w:r>
              <w:rPr>
                <w:b/>
                <w:bCs/>
                <w:spacing w:val="-4"/>
              </w:rPr>
              <w:t>分值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2046"/>
              <w:spacing w:before="67" w:line="219" w:lineRule="auto"/>
              <w:rPr/>
            </w:pPr>
            <w:r>
              <w:rPr>
                <w:b/>
                <w:bCs/>
              </w:rPr>
              <w:t>要点及说明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221"/>
              <w:spacing w:before="68" w:line="221" w:lineRule="auto"/>
              <w:rPr/>
            </w:pPr>
            <w:r>
              <w:rPr>
                <w:b/>
                <w:bCs/>
                <w:spacing w:val="-4"/>
              </w:rPr>
              <w:t>备注</w:t>
            </w:r>
          </w:p>
        </w:tc>
      </w:tr>
      <w:tr>
        <w:trPr>
          <w:trHeight w:val="1089" w:hRule="atLeast"/>
        </w:trPr>
        <w:tc>
          <w:tcPr>
            <w:tcW w:w="97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55" w:line="217" w:lineRule="auto"/>
              <w:rPr/>
            </w:pPr>
            <w:r>
              <w:rPr>
                <w:b/>
                <w:bCs/>
                <w:spacing w:val="-4"/>
              </w:rPr>
              <w:t>账户综合收</w:t>
            </w:r>
          </w:p>
          <w:p>
            <w:pPr>
              <w:pStyle w:val="TableText"/>
              <w:ind w:left="57"/>
              <w:spacing w:line="219" w:lineRule="auto"/>
              <w:rPr/>
            </w:pPr>
            <w:r>
              <w:rPr>
                <w:b/>
                <w:bCs/>
                <w:spacing w:val="-4"/>
              </w:rPr>
              <w:t>益水平指标</w:t>
            </w:r>
          </w:p>
        </w:tc>
        <w:tc>
          <w:tcPr>
            <w:tcW w:w="155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55" w:line="219" w:lineRule="auto"/>
              <w:rPr/>
            </w:pPr>
            <w:r>
              <w:rPr>
                <w:spacing w:val="-2"/>
              </w:rPr>
              <w:t>账户存款利率</w:t>
            </w:r>
          </w:p>
        </w:tc>
        <w:tc>
          <w:tcPr>
            <w:tcW w:w="124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55"/>
              <w:rPr/>
            </w:pPr>
            <w:r>
              <w:rPr>
                <w:spacing w:val="-5"/>
              </w:rPr>
              <w:t>10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14"/>
              <w:spacing w:before="79" w:line="217" w:lineRule="auto"/>
              <w:jc w:val="both"/>
              <w:rPr/>
            </w:pPr>
            <w:r>
              <w:rPr>
                <w:spacing w:val="-5"/>
              </w:rPr>
              <w:t>以竞标银行报价利率为评分依据。1、报价利率达到最新浙江省市场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利率定价自律机制规定的该投标银行所属银行类别同期限协定存款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利率上限的得5分，未达到的不得分；</w:t>
            </w:r>
          </w:p>
          <w:p>
            <w:pPr>
              <w:pStyle w:val="TableText"/>
              <w:ind w:left="14"/>
              <w:spacing w:line="217" w:lineRule="auto"/>
              <w:rPr/>
            </w:pPr>
            <w:r>
              <w:rPr>
                <w:spacing w:val="-2"/>
              </w:rPr>
              <w:t>2、报价利率最高的，得5分，其他竞标银行得分=该行报价利率/最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高报价利率×5。以上两项分值相加计算出该银行得分。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left="49"/>
              <w:spacing w:before="68" w:line="218" w:lineRule="auto"/>
              <w:rPr/>
            </w:pPr>
            <w:r>
              <w:rPr>
                <w:spacing w:val="2"/>
              </w:rPr>
              <w:t>需提供最</w:t>
            </w:r>
          </w:p>
          <w:p>
            <w:pPr>
              <w:pStyle w:val="TableText"/>
              <w:ind w:left="49"/>
              <w:spacing w:line="216" w:lineRule="auto"/>
              <w:rPr/>
            </w:pPr>
            <w:r>
              <w:rPr>
                <w:spacing w:val="-2"/>
              </w:rPr>
              <w:t>新市场利</w:t>
            </w:r>
          </w:p>
          <w:p>
            <w:pPr>
              <w:pStyle w:val="TableText"/>
              <w:ind w:left="49"/>
              <w:spacing w:line="217" w:lineRule="auto"/>
              <w:rPr/>
            </w:pPr>
            <w:r>
              <w:rPr>
                <w:spacing w:val="7"/>
              </w:rPr>
              <w:t>率定价自</w:t>
            </w:r>
          </w:p>
          <w:p>
            <w:pPr>
              <w:pStyle w:val="TableText"/>
              <w:ind w:left="49"/>
              <w:spacing w:line="217" w:lineRule="auto"/>
              <w:rPr/>
            </w:pPr>
            <w:r>
              <w:rPr>
                <w:spacing w:val="-2"/>
              </w:rPr>
              <w:t>律机制文</w:t>
            </w:r>
          </w:p>
          <w:p>
            <w:pPr>
              <w:pStyle w:val="TableText"/>
              <w:ind w:left="309"/>
              <w:spacing w:line="219" w:lineRule="auto"/>
              <w:rPr/>
            </w:pPr>
            <w:r>
              <w:rPr/>
              <w:t>件</w:t>
            </w:r>
          </w:p>
        </w:tc>
      </w:tr>
      <w:tr>
        <w:trPr>
          <w:trHeight w:val="679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55" w:line="220" w:lineRule="auto"/>
              <w:rPr/>
            </w:pPr>
            <w:r>
              <w:rPr>
                <w:b/>
                <w:bCs/>
                <w:spacing w:val="-4"/>
              </w:rPr>
              <w:t>贡献度指标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61"/>
              <w:spacing w:before="261" w:line="219" w:lineRule="auto"/>
              <w:rPr/>
            </w:pPr>
            <w:r>
              <w:rPr>
                <w:spacing w:val="-2"/>
              </w:rPr>
              <w:t>流动贷款占比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73"/>
              <w:spacing w:before="277"/>
              <w:rPr/>
            </w:pPr>
            <w:r>
              <w:rPr/>
              <w:t>5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14"/>
              <w:spacing w:before="69" w:line="217" w:lineRule="auto"/>
              <w:jc w:val="both"/>
              <w:rPr/>
            </w:pPr>
            <w:r>
              <w:rPr>
                <w:spacing w:val="-4"/>
              </w:rPr>
              <w:t>各投标人2025年6月末给交投集团流动贷款余额占</w:t>
            </w:r>
            <w:r>
              <w:rPr>
                <w:spacing w:val="-5"/>
              </w:rPr>
              <w:t>其“公司流动贷款</w:t>
            </w:r>
            <w:r>
              <w:rPr/>
              <w:t xml:space="preserve"> </w:t>
            </w:r>
            <w:r>
              <w:rPr>
                <w:spacing w:val="-5"/>
              </w:rPr>
              <w:t>”总额比例由高及低排序，按所有投标人的排名，第一名得5分，每</w:t>
            </w:r>
            <w:r>
              <w:rPr>
                <w:spacing w:val="14"/>
              </w:rPr>
              <w:t xml:space="preserve"> </w:t>
            </w:r>
            <w:r>
              <w:rPr/>
              <w:t>递减1名减1分，前三名后均得2分，占比为</w:t>
            </w:r>
            <w:r>
              <w:rPr>
                <w:spacing w:val="-1"/>
              </w:rPr>
              <w:t>零的不得分。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61"/>
              <w:spacing w:before="252" w:line="219" w:lineRule="auto"/>
              <w:rPr/>
            </w:pPr>
            <w:r>
              <w:rPr>
                <w:spacing w:val="-2"/>
              </w:rPr>
              <w:t>流动贷款余额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33"/>
              <w:spacing w:before="268"/>
              <w:rPr/>
            </w:pPr>
            <w:r>
              <w:rPr>
                <w:spacing w:val="-5"/>
              </w:rPr>
              <w:t>10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14" w:right="32"/>
              <w:spacing w:before="62" w:line="214" w:lineRule="auto"/>
              <w:rPr/>
            </w:pPr>
            <w:r>
              <w:rPr/>
              <w:t>各投标人2025年6月末给交投集团流动贷款余</w:t>
            </w:r>
            <w:r>
              <w:rPr>
                <w:spacing w:val="-1"/>
              </w:rPr>
              <w:t>额1亿元(含)以上得</w:t>
            </w:r>
            <w:r>
              <w:rPr/>
              <w:t xml:space="preserve">  </w:t>
            </w:r>
            <w:r>
              <w:rPr/>
              <w:t>10分，0.5亿元(含)以上1亿元以下得8分，0.5亿元以下得6分，没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有贷款余额不得分。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8" w:hRule="atLeast"/>
        </w:trPr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55" w:line="219" w:lineRule="auto"/>
              <w:rPr/>
            </w:pPr>
            <w:r>
              <w:rPr>
                <w:spacing w:val="-1"/>
              </w:rPr>
              <w:t>存量贷款下调利率</w:t>
            </w:r>
          </w:p>
        </w:tc>
        <w:tc>
          <w:tcPr>
            <w:tcW w:w="12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56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14"/>
              <w:spacing w:before="102" w:line="215" w:lineRule="auto"/>
              <w:rPr/>
            </w:pPr>
            <w:r>
              <w:rPr>
                <w:spacing w:val="-2"/>
              </w:rPr>
              <w:t>1.对存量贷款(含承诺期内到期的续贷)利率下调的BP数由高及低排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序，按所有投标人的排名，第一名得10分，每递减1名减2分，前四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名后均得2分，没有下调BP的不得分。(剔除LPR调整影响，承诺30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天内调整到位，违约取消交投集团农民工工资专户评选资格</w:t>
            </w:r>
            <w:r>
              <w:rPr>
                <w:spacing w:val="-3"/>
              </w:rPr>
              <w:t>，因交</w:t>
            </w:r>
            <w:r>
              <w:rPr/>
              <w:t xml:space="preserve"> </w:t>
            </w:r>
            <w:r>
              <w:rPr>
                <w:spacing w:val="1"/>
              </w:rPr>
              <w:t>投集团原因不续贷的，不影响投标人评选资格。)</w:t>
            </w:r>
          </w:p>
          <w:p>
            <w:pPr>
              <w:pStyle w:val="TableText"/>
              <w:ind w:left="14" w:right="3"/>
              <w:spacing w:line="217" w:lineRule="auto"/>
              <w:rPr/>
            </w:pPr>
            <w:r>
              <w:rPr>
                <w:spacing w:val="1"/>
              </w:rPr>
              <w:t>2.对存量贷款(含承诺期内到期的续贷)利率下调的额度2亿元(含)</w:t>
            </w:r>
            <w:r>
              <w:rPr/>
              <w:t xml:space="preserve"> </w:t>
            </w:r>
            <w:r>
              <w:rPr/>
              <w:t>以上得10分，1.5亿元(含)以上2亿元以下得9分，1亿元(含)以</w:t>
            </w:r>
          </w:p>
          <w:p>
            <w:pPr>
              <w:pStyle w:val="TableText"/>
              <w:ind w:left="14"/>
              <w:spacing w:before="2" w:line="217" w:lineRule="auto"/>
              <w:rPr/>
            </w:pPr>
            <w:r>
              <w:rPr>
                <w:spacing w:val="-2"/>
              </w:rPr>
              <w:t>上1.5亿元以下得8分，0.5亿元(含)以上1亿元以下得7分，0.5亿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元以下均得6分，没有下调额度的不得分。(承诺30天内调整到位，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违约取消交投集团农民工工资专户评选资格，</w:t>
            </w:r>
            <w:r>
              <w:rPr>
                <w:spacing w:val="-4"/>
              </w:rPr>
              <w:t>因交投集团原因不续</w:t>
            </w:r>
            <w:r>
              <w:rPr/>
              <w:t xml:space="preserve"> </w:t>
            </w:r>
            <w:r>
              <w:rPr/>
              <w:t>贷的，不影响投标人评选资格。)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ind w:left="261"/>
              <w:spacing w:before="255" w:line="219" w:lineRule="auto"/>
              <w:rPr/>
            </w:pPr>
            <w:r>
              <w:rPr>
                <w:spacing w:val="-2"/>
              </w:rPr>
              <w:t>增量流动贷款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33"/>
              <w:spacing w:before="271"/>
              <w:rPr/>
            </w:pPr>
            <w:r>
              <w:rPr>
                <w:spacing w:val="-5"/>
              </w:rPr>
              <w:t>10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14"/>
              <w:spacing w:before="53" w:line="219" w:lineRule="auto"/>
              <w:jc w:val="both"/>
              <w:rPr/>
            </w:pPr>
            <w:r>
              <w:rPr/>
              <w:t>各投标人2025年6月末给交投集团流动贷款余额比年初</w:t>
            </w:r>
            <w:r>
              <w:rPr>
                <w:spacing w:val="-1"/>
              </w:rPr>
              <w:t>数的增量计</w:t>
            </w:r>
            <w:r>
              <w:rPr/>
              <w:t xml:space="preserve"> </w:t>
            </w:r>
            <w:r>
              <w:rPr>
                <w:spacing w:val="-4"/>
              </w:rPr>
              <w:t>分，由高及低排序，按所有投标人的排名，</w:t>
            </w:r>
            <w:r>
              <w:rPr>
                <w:spacing w:val="-5"/>
              </w:rPr>
              <w:t>第一名得10分，每递减1</w:t>
            </w:r>
            <w:r>
              <w:rPr/>
              <w:t xml:space="preserve"> </w:t>
            </w:r>
            <w:r>
              <w:rPr>
                <w:spacing w:val="-1"/>
              </w:rPr>
              <w:t>名减2分，减记至零分。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0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55" w:line="218" w:lineRule="auto"/>
              <w:rPr/>
            </w:pPr>
            <w:r>
              <w:rPr>
                <w:b/>
                <w:bCs/>
                <w:spacing w:val="-3"/>
              </w:rPr>
              <w:t>服务水平指</w:t>
            </w:r>
          </w:p>
          <w:p>
            <w:pPr>
              <w:pStyle w:val="TableText"/>
              <w:ind w:left="397"/>
              <w:spacing w:line="220" w:lineRule="auto"/>
              <w:rPr/>
            </w:pPr>
            <w:r>
              <w:rPr>
                <w:b/>
                <w:bCs/>
                <w:spacing w:val="-2"/>
              </w:rPr>
              <w:t>标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90"/>
              <w:spacing w:before="256" w:line="219" w:lineRule="auto"/>
              <w:rPr/>
            </w:pPr>
            <w:r>
              <w:rPr>
                <w:spacing w:val="1"/>
              </w:rPr>
              <w:t>账户管理服务能力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33"/>
              <w:spacing w:before="272"/>
              <w:rPr/>
            </w:pPr>
            <w:r>
              <w:rPr>
                <w:spacing w:val="-5"/>
              </w:rPr>
              <w:t>10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14"/>
              <w:spacing w:before="66" w:line="215" w:lineRule="auto"/>
              <w:jc w:val="both"/>
              <w:rPr/>
            </w:pPr>
            <w:r>
              <w:rPr>
                <w:spacing w:val="-5"/>
              </w:rPr>
              <w:t>考评各金融机构拨款业务办理及时性与准确性，最高得5分，考评各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金融机构拨款凭证传递及对账的及对账的及时性等服务能力，最高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得5分。根据投标人提供的服务方案，评委现场评分。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10" w:right="23" w:hanging="510"/>
              <w:spacing w:before="176" w:line="219" w:lineRule="auto"/>
              <w:rPr/>
            </w:pPr>
            <w:r>
              <w:rPr>
                <w:spacing w:val="-1"/>
              </w:rPr>
              <w:t>信息化建设及人员综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合服务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33"/>
              <w:spacing w:before="282"/>
              <w:rPr/>
            </w:pPr>
            <w:r>
              <w:rPr>
                <w:spacing w:val="-5"/>
              </w:rPr>
              <w:t>10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14"/>
              <w:spacing w:before="75" w:line="215" w:lineRule="auto"/>
              <w:jc w:val="both"/>
              <w:rPr/>
            </w:pPr>
            <w:r>
              <w:rPr>
                <w:spacing w:val="-8"/>
              </w:rPr>
              <w:t>考评各金融机构信息化建设与业务快捷性、便利性，最高得5分。考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评各金融机构提供上门服务情况与人员工作配合情况，最高得5分。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根据投标人提供的服务方案，评委现场评分。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0" w:hRule="atLeast"/>
        </w:trPr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31"/>
              <w:spacing w:before="257" w:line="219" w:lineRule="auto"/>
              <w:rPr/>
            </w:pPr>
            <w:r>
              <w:rPr>
                <w:spacing w:val="-3"/>
              </w:rPr>
              <w:t>免费业务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33"/>
              <w:spacing w:before="273" w:line="241" w:lineRule="auto"/>
              <w:rPr/>
            </w:pPr>
            <w:r>
              <w:rPr>
                <w:spacing w:val="-5"/>
              </w:rPr>
              <w:t>14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14"/>
              <w:spacing w:before="66" w:line="215" w:lineRule="auto"/>
              <w:rPr/>
            </w:pPr>
            <w:r>
              <w:rPr>
                <w:spacing w:val="-4"/>
              </w:rPr>
              <w:t>免账户管理费得2分，免网银开户费得2分</w:t>
            </w:r>
            <w:r>
              <w:rPr>
                <w:spacing w:val="-5"/>
              </w:rPr>
              <w:t>，网银证书工本费得2分，</w:t>
            </w:r>
            <w:r>
              <w:rPr/>
              <w:t xml:space="preserve"> </w:t>
            </w:r>
            <w:r>
              <w:rPr>
                <w:spacing w:val="-3"/>
              </w:rPr>
              <w:t>免网银年费得2分，免跨地区跨行手续费得2分，</w:t>
            </w:r>
            <w:r>
              <w:rPr>
                <w:spacing w:val="-4"/>
              </w:rPr>
              <w:t>免短信服务费得</w:t>
            </w:r>
            <w:r>
              <w:rPr/>
              <w:t xml:space="preserve">   </w:t>
            </w:r>
            <w:r>
              <w:rPr>
                <w:spacing w:val="-3"/>
              </w:rPr>
              <w:t>2分，免回单箱使用费得2分，上述相关费用不免不得分。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9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"/>
              <w:spacing w:before="55" w:line="220" w:lineRule="auto"/>
              <w:rPr/>
            </w:pPr>
            <w:r>
              <w:rPr>
                <w:spacing w:val="3"/>
              </w:rPr>
              <w:t>营业网点</w:t>
            </w:r>
          </w:p>
        </w:tc>
        <w:tc>
          <w:tcPr>
            <w:tcW w:w="124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3"/>
              <w:spacing w:before="55"/>
              <w:rPr/>
            </w:pPr>
            <w:r>
              <w:rPr/>
              <w:t>5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14"/>
              <w:spacing w:before="76" w:line="218" w:lineRule="auto"/>
              <w:jc w:val="both"/>
              <w:rPr/>
            </w:pPr>
            <w:r>
              <w:rPr>
                <w:spacing w:val="-2"/>
              </w:rPr>
              <w:t>按所有投标人在项目所在地城区、镇、街道开办的网点个数由高及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低排序，按所有投标人的排名，第一名得5</w:t>
            </w:r>
            <w:r>
              <w:rPr>
                <w:spacing w:val="-5"/>
              </w:rPr>
              <w:t>分，每递减1名减1分，前</w:t>
            </w:r>
            <w:r>
              <w:rPr/>
              <w:t xml:space="preserve"> </w:t>
            </w:r>
            <w:r>
              <w:rPr>
                <w:spacing w:val="-5"/>
              </w:rPr>
              <w:t>三名后均得2分。须提供所有网点汇总名单加盖单位公章，未提供者</w:t>
            </w:r>
            <w:r>
              <w:rPr>
                <w:spacing w:val="13"/>
              </w:rPr>
              <w:t xml:space="preserve"> </w:t>
            </w:r>
            <w:r>
              <w:rPr/>
              <w:t>不得分。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137"/>
              <w:spacing w:before="154" w:line="218" w:lineRule="auto"/>
              <w:rPr/>
            </w:pPr>
            <w:r>
              <w:rPr>
                <w:b/>
                <w:bCs/>
                <w:spacing w:val="-4"/>
              </w:rPr>
              <w:t>综合评价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431"/>
              <w:spacing w:before="156" w:line="218" w:lineRule="auto"/>
              <w:rPr/>
            </w:pPr>
            <w:r>
              <w:rPr>
                <w:spacing w:val="-2"/>
              </w:rPr>
              <w:t>综合评价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573"/>
              <w:spacing w:before="174"/>
              <w:rPr/>
            </w:pPr>
            <w:r>
              <w:rPr/>
              <w:t>6</w:t>
            </w:r>
          </w:p>
        </w:tc>
        <w:tc>
          <w:tcPr>
            <w:tcW w:w="4905" w:type="dxa"/>
            <w:vAlign w:val="top"/>
          </w:tcPr>
          <w:p>
            <w:pPr>
              <w:pStyle w:val="TableText"/>
              <w:ind w:left="14"/>
              <w:spacing w:before="55" w:line="214" w:lineRule="auto"/>
              <w:rPr/>
            </w:pPr>
            <w:r>
              <w:rPr>
                <w:spacing w:val="-5"/>
              </w:rPr>
              <w:t>根据龙游县政府上年度金融机构履职评价结果计分，一档得6分，二</w:t>
            </w:r>
            <w:r>
              <w:rPr>
                <w:spacing w:val="14"/>
              </w:rPr>
              <w:t xml:space="preserve"> </w:t>
            </w:r>
            <w:r>
              <w:rPr/>
              <w:t>档4分，三档得2分，其他不得分。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2532" w:type="dxa"/>
            <w:vAlign w:val="top"/>
            <w:gridSpan w:val="2"/>
          </w:tcPr>
          <w:p>
            <w:pPr>
              <w:pStyle w:val="TableText"/>
              <w:ind w:left="1087"/>
              <w:spacing w:before="76" w:line="221" w:lineRule="auto"/>
              <w:rPr/>
            </w:pPr>
            <w:r>
              <w:rPr>
                <w:b/>
                <w:bCs/>
                <w:spacing w:val="-4"/>
              </w:rPr>
              <w:t>合计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483"/>
              <w:spacing w:before="95" w:line="217" w:lineRule="auto"/>
              <w:rPr/>
            </w:pPr>
            <w:r>
              <w:rPr>
                <w:spacing w:val="-5"/>
              </w:rPr>
              <w:t>100</w:t>
            </w:r>
          </w:p>
        </w:tc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right="163"/>
        <w:spacing w:before="167" w:line="218" w:lineRule="auto"/>
        <w:rPr>
          <w:rFonts w:ascii="FangSong" w:hAnsi="FangSong" w:eastAsia="FangSong" w:cs="FangSong"/>
          <w:sz w:val="14"/>
          <w:szCs w:val="14"/>
        </w:rPr>
      </w:pPr>
      <w:r>
        <w:rPr>
          <w:rFonts w:ascii="FangSong" w:hAnsi="FangSong" w:eastAsia="FangSong" w:cs="FangSong"/>
          <w:sz w:val="14"/>
          <w:szCs w:val="14"/>
          <w:spacing w:val="4"/>
        </w:rPr>
        <w:t>备注：表内“交投集团”含交投本级和行政属于龙游县交通投资集团有限公司管</w:t>
      </w:r>
      <w:r>
        <w:rPr>
          <w:rFonts w:ascii="FangSong" w:hAnsi="FangSong" w:eastAsia="FangSong" w:cs="FangSong"/>
          <w:sz w:val="14"/>
          <w:szCs w:val="14"/>
          <w:spacing w:val="3"/>
        </w:rPr>
        <w:t>理的子公司；表内“流动贷款”含所有短期融资品种。上述资料要求</w:t>
      </w:r>
      <w:r>
        <w:rPr>
          <w:rFonts w:ascii="FangSong" w:hAnsi="FangSong" w:eastAsia="FangSong" w:cs="FangSong"/>
          <w:sz w:val="14"/>
          <w:szCs w:val="14"/>
        </w:rPr>
        <w:t xml:space="preserve"> </w:t>
      </w:r>
      <w:r>
        <w:rPr>
          <w:rFonts w:ascii="FangSong" w:hAnsi="FangSong" w:eastAsia="FangSong" w:cs="FangSong"/>
          <w:sz w:val="14"/>
          <w:szCs w:val="14"/>
          <w:spacing w:val="4"/>
        </w:rPr>
        <w:t>盖章，否则视为无效。</w:t>
      </w:r>
    </w:p>
    <w:sectPr>
      <w:pgSz w:w="11910" w:h="16830"/>
      <w:pgMar w:top="919" w:right="1365" w:bottom="0" w:left="104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2025-08-19T10:08:39Z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2025-08-19T10:08:40</vt:filetime>
  </property>
  <property fmtid="{D5CDD505-2E9C-101B-9397-08002B2CF9AE}" pid="4" name="UsrData">
    <vt:lpwstr>68a3dca439e360001f753a58wl</vt:lpwstr>
  </property>
</Properties>
</file>