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3237C">
      <w:pPr>
        <w:jc w:val="center"/>
        <w:rPr>
          <w:rFonts w:hint="eastAsia" w:ascii="方正小标宋简体" w:hAnsi="方正小标宋简体" w:eastAsia="方正小标宋简体" w:cs="方正小标宋简体"/>
          <w:b w:val="0"/>
          <w:bCs/>
          <w:sz w:val="44"/>
          <w:szCs w:val="24"/>
          <w:lang w:val="zh-CN" w:eastAsia="zh-CN"/>
        </w:rPr>
      </w:pPr>
      <w:bookmarkStart w:id="0" w:name="_Toc293916911"/>
      <w:r>
        <w:rPr>
          <w:rFonts w:hint="eastAsia" w:ascii="方正小标宋简体" w:hAnsi="方正小标宋简体" w:eastAsia="方正小标宋简体" w:cs="方正小标宋简体"/>
          <w:b w:val="0"/>
          <w:bCs/>
          <w:sz w:val="44"/>
          <w:szCs w:val="24"/>
          <w:lang w:val="zh-CN" w:eastAsia="zh-CN"/>
        </w:rPr>
        <w:t>龙游县公共交通运输有限公司</w:t>
      </w:r>
    </w:p>
    <w:p w14:paraId="3ED3EDA8">
      <w:pPr>
        <w:jc w:val="center"/>
        <w:rPr>
          <w:rFonts w:hint="eastAsia" w:ascii="方正小标宋简体" w:hAnsi="方正小标宋简体" w:eastAsia="方正小标宋简体" w:cs="方正小标宋简体"/>
          <w:b w:val="0"/>
          <w:bCs/>
          <w:sz w:val="44"/>
          <w:szCs w:val="24"/>
          <w:lang w:val="en-US"/>
        </w:rPr>
      </w:pPr>
      <w:r>
        <w:rPr>
          <w:rFonts w:hint="eastAsia" w:ascii="方正小标宋简体" w:hAnsi="方正小标宋简体" w:eastAsia="方正小标宋简体" w:cs="方正小标宋简体"/>
          <w:b w:val="0"/>
          <w:bCs/>
          <w:sz w:val="44"/>
          <w:szCs w:val="24"/>
          <w:lang w:val="zh-CN" w:eastAsia="zh-CN"/>
        </w:rPr>
        <w:t>2025年</w:t>
      </w:r>
      <w:r>
        <w:rPr>
          <w:rFonts w:hint="eastAsia" w:ascii="方正小标宋简体" w:hAnsi="方正小标宋简体" w:eastAsia="方正小标宋简体" w:cs="方正小标宋简体"/>
          <w:b w:val="0"/>
          <w:bCs/>
          <w:sz w:val="44"/>
          <w:szCs w:val="24"/>
          <w:lang w:val="en-US" w:eastAsia="zh-CN"/>
        </w:rPr>
        <w:t>车载部标机</w:t>
      </w:r>
      <w:r>
        <w:rPr>
          <w:rFonts w:hint="eastAsia" w:ascii="方正小标宋简体" w:hAnsi="方正小标宋简体" w:eastAsia="方正小标宋简体" w:cs="方正小标宋简体"/>
          <w:b w:val="0"/>
          <w:bCs/>
          <w:sz w:val="44"/>
          <w:szCs w:val="24"/>
          <w:lang w:val="zh-CN" w:eastAsia="zh-CN"/>
        </w:rPr>
        <w:t>采购</w:t>
      </w:r>
      <w:r>
        <w:rPr>
          <w:rFonts w:hint="eastAsia" w:ascii="方正小标宋简体" w:hAnsi="方正小标宋简体" w:eastAsia="方正小标宋简体" w:cs="方正小标宋简体"/>
          <w:b w:val="0"/>
          <w:bCs/>
          <w:sz w:val="44"/>
          <w:szCs w:val="24"/>
          <w:lang w:val="en-US" w:eastAsia="zh-CN"/>
        </w:rPr>
        <w:t>项目</w:t>
      </w:r>
    </w:p>
    <w:p w14:paraId="03F009EF">
      <w:pPr>
        <w:pStyle w:val="2"/>
        <w:rPr>
          <w:rFonts w:hint="eastAsia"/>
          <w:b w:val="0"/>
          <w:bCs/>
          <w:sz w:val="44"/>
          <w:szCs w:val="24"/>
          <w:lang w:val="zh-CN"/>
        </w:rPr>
      </w:pPr>
    </w:p>
    <w:p w14:paraId="29BD2DE6">
      <w:pPr>
        <w:rPr>
          <w:rFonts w:hint="eastAsia"/>
          <w:b w:val="0"/>
          <w:bCs/>
          <w:sz w:val="44"/>
          <w:szCs w:val="24"/>
          <w:lang w:val="zh-CN"/>
        </w:rPr>
      </w:pPr>
    </w:p>
    <w:p w14:paraId="4D61A0EA">
      <w:pPr>
        <w:pStyle w:val="7"/>
        <w:tabs>
          <w:tab w:val="left" w:pos="480"/>
        </w:tabs>
        <w:bidi w:val="0"/>
        <w:ind w:firstLine="3080" w:firstLineChars="700"/>
        <w:jc w:val="both"/>
        <w:rPr>
          <w:rFonts w:hint="eastAsia" w:ascii="方正小标宋简体" w:hAnsi="方正小标宋简体" w:eastAsia="方正小标宋简体" w:cs="方正小标宋简体"/>
          <w:b w:val="0"/>
          <w:bCs/>
          <w:color w:val="auto"/>
          <w:kern w:val="2"/>
          <w:sz w:val="44"/>
          <w:szCs w:val="24"/>
          <w:lang w:val="zh-CN" w:eastAsia="zh-CN" w:bidi="ar-SA"/>
          <w14:ligatures w14:val="none"/>
        </w:rPr>
      </w:pPr>
    </w:p>
    <w:p w14:paraId="629AA90B">
      <w:pPr>
        <w:pStyle w:val="7"/>
        <w:tabs>
          <w:tab w:val="left" w:pos="480"/>
        </w:tabs>
        <w:bidi w:val="0"/>
        <w:ind w:firstLine="3080" w:firstLineChars="700"/>
        <w:jc w:val="both"/>
        <w:rPr>
          <w:rFonts w:hint="eastAsia" w:ascii="方正小标宋简体" w:hAnsi="方正小标宋简体" w:eastAsia="方正小标宋简体" w:cs="方正小标宋简体"/>
          <w:b w:val="0"/>
          <w:bCs/>
          <w:color w:val="auto"/>
          <w:kern w:val="2"/>
          <w:sz w:val="44"/>
          <w:szCs w:val="24"/>
          <w:lang w:val="zh-CN" w:eastAsia="zh-CN" w:bidi="ar-SA"/>
          <w14:ligatures w14:val="none"/>
        </w:rPr>
      </w:pPr>
      <w:r>
        <w:rPr>
          <w:rFonts w:hint="eastAsia" w:ascii="方正小标宋简体" w:hAnsi="方正小标宋简体" w:eastAsia="方正小标宋简体" w:cs="方正小标宋简体"/>
          <w:b w:val="0"/>
          <w:bCs/>
          <w:color w:val="auto"/>
          <w:kern w:val="2"/>
          <w:sz w:val="44"/>
          <w:szCs w:val="24"/>
          <w:lang w:val="zh-CN" w:eastAsia="zh-CN" w:bidi="ar-SA"/>
          <w14:ligatures w14:val="none"/>
        </w:rPr>
        <w:t>采</w:t>
      </w:r>
      <w:r>
        <w:rPr>
          <w:rFonts w:hint="eastAsia" w:ascii="方正小标宋简体" w:hAnsi="方正小标宋简体" w:eastAsia="方正小标宋简体" w:cs="方正小标宋简体"/>
          <w:b w:val="0"/>
          <w:bCs/>
          <w:color w:val="auto"/>
          <w:kern w:val="2"/>
          <w:sz w:val="44"/>
          <w:szCs w:val="24"/>
          <w:lang w:val="en-US" w:eastAsia="zh-CN" w:bidi="ar-SA"/>
          <w14:ligatures w14:val="none"/>
        </w:rPr>
        <w:t xml:space="preserve"> </w:t>
      </w:r>
      <w:r>
        <w:rPr>
          <w:rFonts w:hint="eastAsia" w:ascii="方正小标宋简体" w:hAnsi="方正小标宋简体" w:eastAsia="方正小标宋简体" w:cs="方正小标宋简体"/>
          <w:b w:val="0"/>
          <w:bCs/>
          <w:color w:val="auto"/>
          <w:kern w:val="2"/>
          <w:sz w:val="44"/>
          <w:szCs w:val="24"/>
          <w:lang w:val="zh-CN" w:eastAsia="zh-CN" w:bidi="ar-SA"/>
          <w14:ligatures w14:val="none"/>
        </w:rPr>
        <w:t>购</w:t>
      </w:r>
      <w:r>
        <w:rPr>
          <w:rFonts w:hint="eastAsia" w:ascii="方正小标宋简体" w:hAnsi="方正小标宋简体" w:eastAsia="方正小标宋简体" w:cs="方正小标宋简体"/>
          <w:b w:val="0"/>
          <w:bCs/>
          <w:color w:val="auto"/>
          <w:kern w:val="2"/>
          <w:sz w:val="44"/>
          <w:szCs w:val="24"/>
          <w:lang w:val="en-US" w:eastAsia="zh-CN" w:bidi="ar-SA"/>
          <w14:ligatures w14:val="none"/>
        </w:rPr>
        <w:t xml:space="preserve"> </w:t>
      </w:r>
      <w:r>
        <w:rPr>
          <w:rFonts w:hint="eastAsia" w:ascii="方正小标宋简体" w:hAnsi="方正小标宋简体" w:eastAsia="方正小标宋简体" w:cs="方正小标宋简体"/>
          <w:b w:val="0"/>
          <w:bCs/>
          <w:color w:val="auto"/>
          <w:kern w:val="2"/>
          <w:sz w:val="44"/>
          <w:szCs w:val="24"/>
          <w:lang w:val="zh-CN" w:eastAsia="zh-CN" w:bidi="ar-SA"/>
          <w14:ligatures w14:val="none"/>
        </w:rPr>
        <w:t>合</w:t>
      </w:r>
      <w:r>
        <w:rPr>
          <w:rFonts w:hint="eastAsia" w:ascii="方正小标宋简体" w:hAnsi="方正小标宋简体" w:eastAsia="方正小标宋简体" w:cs="方正小标宋简体"/>
          <w:b w:val="0"/>
          <w:bCs/>
          <w:color w:val="auto"/>
          <w:kern w:val="2"/>
          <w:sz w:val="44"/>
          <w:szCs w:val="24"/>
          <w:lang w:val="en-US" w:eastAsia="zh-CN" w:bidi="ar-SA"/>
          <w14:ligatures w14:val="none"/>
        </w:rPr>
        <w:t xml:space="preserve"> </w:t>
      </w:r>
      <w:r>
        <w:rPr>
          <w:rFonts w:hint="eastAsia" w:ascii="方正小标宋简体" w:hAnsi="方正小标宋简体" w:eastAsia="方正小标宋简体" w:cs="方正小标宋简体"/>
          <w:b w:val="0"/>
          <w:bCs/>
          <w:color w:val="auto"/>
          <w:kern w:val="2"/>
          <w:sz w:val="44"/>
          <w:szCs w:val="24"/>
          <w:lang w:val="zh-CN" w:eastAsia="zh-CN" w:bidi="ar-SA"/>
          <w14:ligatures w14:val="none"/>
        </w:rPr>
        <w:t>同</w:t>
      </w:r>
    </w:p>
    <w:p w14:paraId="6728B176">
      <w:pPr>
        <w:rPr>
          <w:rFonts w:hint="eastAsia"/>
          <w:sz w:val="21"/>
          <w:szCs w:val="20"/>
          <w:lang w:val="zh-CN"/>
        </w:rPr>
      </w:pPr>
    </w:p>
    <w:p w14:paraId="4A22A0DD">
      <w:pPr>
        <w:rPr>
          <w:rFonts w:hint="eastAsia"/>
          <w:sz w:val="21"/>
          <w:szCs w:val="20"/>
          <w:lang w:val="zh-CN"/>
        </w:rPr>
      </w:pPr>
    </w:p>
    <w:p w14:paraId="0A0FA3AD">
      <w:pPr>
        <w:ind w:left="0" w:leftChars="0" w:firstLine="0" w:firstLineChars="0"/>
        <w:rPr>
          <w:rFonts w:hint="eastAsia"/>
          <w:sz w:val="21"/>
          <w:szCs w:val="20"/>
          <w:lang w:val="zh-CN"/>
        </w:rPr>
      </w:pPr>
    </w:p>
    <w:p w14:paraId="266AB2CB">
      <w:pPr>
        <w:rPr>
          <w:rFonts w:hint="eastAsia"/>
          <w:sz w:val="21"/>
          <w:szCs w:val="20"/>
          <w:lang w:val="zh-CN"/>
        </w:rPr>
      </w:pPr>
    </w:p>
    <w:p w14:paraId="52C47A9D">
      <w:pPr>
        <w:ind w:left="0" w:leftChars="0" w:firstLine="0" w:firstLineChars="0"/>
        <w:rPr>
          <w:rFonts w:hint="eastAsia"/>
          <w:sz w:val="21"/>
          <w:szCs w:val="20"/>
          <w:lang w:val="zh-CN"/>
        </w:rPr>
      </w:pPr>
    </w:p>
    <w:p w14:paraId="757512B2">
      <w:pPr>
        <w:pStyle w:val="2"/>
        <w:rPr>
          <w:rFonts w:hint="eastAsia"/>
          <w:lang w:val="zh-CN"/>
        </w:rPr>
      </w:pPr>
    </w:p>
    <w:p w14:paraId="2DC2014E">
      <w:pPr>
        <w:pStyle w:val="9"/>
        <w:bidi w:val="0"/>
        <w:ind w:firstLine="723" w:firstLineChars="200"/>
        <w:rPr>
          <w:rFonts w:hint="default" w:ascii="Times New Roman" w:hAnsi="Times New Roman" w:eastAsia="宋体" w:cs="Times New Roman"/>
          <w:b/>
          <w:bCs/>
          <w:color w:val="auto"/>
          <w:kern w:val="2"/>
          <w:sz w:val="36"/>
          <w:szCs w:val="36"/>
          <w:lang w:val="en-US" w:eastAsia="zh-CN" w:bidi="ar-SA"/>
          <w14:ligatures w14:val="none"/>
        </w:rPr>
      </w:pPr>
      <w:r>
        <w:rPr>
          <w:rFonts w:hint="eastAsia" w:ascii="Times New Roman" w:hAnsi="Times New Roman" w:eastAsia="宋体" w:cs="Times New Roman"/>
          <w:b/>
          <w:bCs/>
          <w:color w:val="auto"/>
          <w:kern w:val="2"/>
          <w:sz w:val="36"/>
          <w:szCs w:val="36"/>
          <w:lang w:val="en-US" w:eastAsia="zh-CN" w:bidi="ar-SA"/>
          <w14:ligatures w14:val="none"/>
        </w:rPr>
        <w:t>采购人（全称）：龙游县公共交通运输有限公司</w:t>
      </w:r>
    </w:p>
    <w:p w14:paraId="39D20291">
      <w:pPr>
        <w:pStyle w:val="20"/>
        <w:keepNext w:val="0"/>
        <w:keepLines w:val="0"/>
        <w:pageBreakBefore w:val="0"/>
        <w:widowControl/>
        <w:suppressLineNumbers w:val="0"/>
        <w:kinsoku/>
        <w:wordWrap/>
        <w:overflowPunct/>
        <w:topLinePunct w:val="0"/>
        <w:autoSpaceDE/>
        <w:autoSpaceDN/>
        <w:bidi w:val="0"/>
        <w:adjustRightInd/>
        <w:spacing w:before="75" w:beforeAutospacing="0" w:after="75" w:afterAutospacing="0" w:line="480" w:lineRule="exact"/>
        <w:ind w:left="0" w:right="0" w:firstLine="723" w:firstLineChars="200"/>
        <w:textAlignment w:val="auto"/>
        <w:rPr>
          <w:rFonts w:hint="default" w:ascii="宋体" w:hAnsi="宋体" w:eastAsia="宋体" w:cs="宋体"/>
          <w:b/>
          <w:bCs/>
          <w:i w:val="0"/>
          <w:caps w:val="0"/>
          <w:color w:val="000000"/>
          <w:spacing w:val="0"/>
          <w:sz w:val="32"/>
          <w:szCs w:val="32"/>
          <w:u w:val="single"/>
          <w:lang w:val="en-US" w:eastAsia="zh-CN"/>
        </w:rPr>
      </w:pPr>
      <w:r>
        <w:rPr>
          <w:rFonts w:hint="eastAsia"/>
          <w:b/>
          <w:bCs/>
          <w:sz w:val="36"/>
          <w:szCs w:val="36"/>
          <w:lang w:val="en-US" w:eastAsia="zh-CN"/>
        </w:rPr>
        <w:t>中标人（全称）：</w:t>
      </w:r>
    </w:p>
    <w:p w14:paraId="1CFD370C">
      <w:pPr>
        <w:pStyle w:val="9"/>
        <w:bidi w:val="0"/>
        <w:ind w:firstLine="720" w:firstLineChars="200"/>
        <w:rPr>
          <w:rFonts w:hint="default"/>
          <w:sz w:val="36"/>
          <w:szCs w:val="21"/>
          <w:lang w:val="en-US" w:eastAsia="zh-CN"/>
        </w:rPr>
      </w:pPr>
    </w:p>
    <w:p w14:paraId="3999E1A6">
      <w:pPr>
        <w:pStyle w:val="2"/>
        <w:rPr>
          <w:rFonts w:hint="default"/>
          <w:lang w:val="en-US" w:eastAsia="zh-CN"/>
        </w:rPr>
      </w:pPr>
    </w:p>
    <w:p w14:paraId="474C1E65">
      <w:pPr>
        <w:pStyle w:val="9"/>
        <w:bidi w:val="0"/>
        <w:rPr>
          <w:rFonts w:hint="eastAsia"/>
          <w:sz w:val="36"/>
          <w:szCs w:val="21"/>
          <w:lang w:eastAsia="zh-CN"/>
        </w:rPr>
      </w:pPr>
    </w:p>
    <w:p w14:paraId="3EBCDE4E">
      <w:pPr>
        <w:ind w:firstLine="0" w:firstLineChars="0"/>
        <w:jc w:val="center"/>
        <w:rPr>
          <w:rFonts w:hint="eastAsia" w:ascii="新宋体" w:hAnsi="新宋体" w:eastAsia="新宋体" w:cs="新宋体"/>
          <w:b/>
          <w:sz w:val="36"/>
          <w:szCs w:val="36"/>
        </w:rPr>
      </w:pPr>
      <w:r>
        <w:rPr>
          <w:rFonts w:hint="eastAsia" w:ascii="新宋体" w:hAnsi="新宋体" w:eastAsia="新宋体" w:cs="新宋体"/>
          <w:b/>
          <w:sz w:val="36"/>
          <w:szCs w:val="36"/>
          <w:lang w:val="zh-CN"/>
        </w:rPr>
        <w:t>二○二</w:t>
      </w:r>
      <w:r>
        <w:rPr>
          <w:rFonts w:hint="eastAsia" w:ascii="新宋体" w:hAnsi="新宋体" w:eastAsia="新宋体" w:cs="新宋体"/>
          <w:b/>
          <w:sz w:val="36"/>
          <w:szCs w:val="36"/>
          <w:lang w:val="en-US" w:eastAsia="zh-CN"/>
        </w:rPr>
        <w:t>五</w:t>
      </w:r>
      <w:r>
        <w:rPr>
          <w:rFonts w:hint="eastAsia" w:ascii="新宋体" w:hAnsi="新宋体" w:eastAsia="新宋体" w:cs="新宋体"/>
          <w:b/>
          <w:sz w:val="36"/>
          <w:szCs w:val="36"/>
          <w:lang w:val="zh-CN"/>
        </w:rPr>
        <w:t>年</w:t>
      </w:r>
      <w:r>
        <w:rPr>
          <w:rFonts w:hint="eastAsia" w:ascii="新宋体" w:hAnsi="新宋体" w:eastAsia="新宋体" w:cs="新宋体"/>
          <w:b/>
          <w:sz w:val="36"/>
          <w:szCs w:val="36"/>
          <w:lang w:val="en-US" w:eastAsia="zh-CN"/>
        </w:rPr>
        <w:t xml:space="preserve">   </w:t>
      </w:r>
      <w:r>
        <w:rPr>
          <w:rFonts w:hint="eastAsia" w:ascii="新宋体" w:hAnsi="新宋体" w:eastAsia="新宋体" w:cs="新宋体"/>
          <w:b/>
          <w:sz w:val="36"/>
          <w:szCs w:val="36"/>
        </w:rPr>
        <w:t>月</w:t>
      </w:r>
    </w:p>
    <w:p w14:paraId="59A90CF8">
      <w:pPr>
        <w:pStyle w:val="2"/>
        <w:rPr>
          <w:rFonts w:hint="eastAsia" w:ascii="新宋体" w:hAnsi="新宋体" w:eastAsia="新宋体" w:cs="新宋体"/>
          <w:b/>
          <w:sz w:val="36"/>
          <w:szCs w:val="36"/>
        </w:rPr>
      </w:pPr>
    </w:p>
    <w:p w14:paraId="4FE57723">
      <w:pPr>
        <w:pStyle w:val="3"/>
        <w:rPr>
          <w:rFonts w:hint="eastAsia"/>
        </w:rPr>
      </w:pPr>
    </w:p>
    <w:p w14:paraId="75FA721B">
      <w:pPr>
        <w:pStyle w:val="16"/>
        <w:numPr>
          <w:ilvl w:val="0"/>
          <w:numId w:val="0"/>
        </w:numPr>
        <w:adjustRightInd w:val="0"/>
        <w:snapToGrid w:val="0"/>
        <w:spacing w:before="0" w:beforeLines="0" w:after="0" w:afterLines="0" w:line="360" w:lineRule="auto"/>
        <w:ind w:firstLine="1760" w:firstLineChars="400"/>
        <w:jc w:val="both"/>
        <w:rPr>
          <w:rFonts w:hint="eastAsia" w:hAnsi="宋体" w:eastAsia="黑体"/>
          <w:lang w:val="en-US" w:eastAsia="zh-CN"/>
        </w:rPr>
      </w:pPr>
      <w:r>
        <w:rPr>
          <w:rFonts w:hint="eastAsia" w:ascii="方正小标宋简体" w:hAnsi="方正小标宋简体" w:eastAsia="方正小标宋简体" w:cs="方正小标宋简体"/>
          <w:sz w:val="44"/>
          <w:szCs w:val="52"/>
        </w:rPr>
        <w:t>2025年</w:t>
      </w:r>
      <w:r>
        <w:rPr>
          <w:rFonts w:hint="eastAsia" w:ascii="方正小标宋简体" w:hAnsi="方正小标宋简体" w:eastAsia="方正小标宋简体" w:cs="方正小标宋简体"/>
          <w:sz w:val="44"/>
          <w:szCs w:val="52"/>
          <w:lang w:val="en-US" w:eastAsia="zh-CN"/>
        </w:rPr>
        <w:t>车载部标机</w:t>
      </w:r>
      <w:r>
        <w:rPr>
          <w:rFonts w:hint="eastAsia" w:ascii="方正小标宋简体" w:hAnsi="方正小标宋简体" w:eastAsia="方正小标宋简体" w:cs="方正小标宋简体"/>
          <w:sz w:val="44"/>
          <w:szCs w:val="52"/>
        </w:rPr>
        <w:t>采购</w:t>
      </w:r>
      <w:r>
        <w:rPr>
          <w:rFonts w:hint="eastAsia" w:ascii="方正小标宋简体" w:hAnsi="方正小标宋简体" w:eastAsia="方正小标宋简体" w:cs="方正小标宋简体"/>
          <w:sz w:val="44"/>
          <w:szCs w:val="52"/>
          <w:lang w:val="en-US" w:eastAsia="zh-CN"/>
        </w:rPr>
        <w:t>合同</w:t>
      </w:r>
    </w:p>
    <w:p w14:paraId="52E4F0CA">
      <w:pPr>
        <w:pStyle w:val="16"/>
        <w:numPr>
          <w:ilvl w:val="0"/>
          <w:numId w:val="0"/>
        </w:numPr>
        <w:adjustRightInd w:val="0"/>
        <w:snapToGrid w:val="0"/>
        <w:spacing w:before="0" w:beforeLines="0" w:after="0" w:afterLines="0" w:line="360" w:lineRule="auto"/>
        <w:ind w:firstLine="480" w:firstLineChars="200"/>
        <w:rPr>
          <w:rFonts w:hint="eastAsia" w:hAnsi="宋体" w:eastAsia="宋体"/>
        </w:rPr>
      </w:pPr>
    </w:p>
    <w:bookmarkEnd w:id="0"/>
    <w:p w14:paraId="1310839E">
      <w:pPr>
        <w:keepNext w:val="0"/>
        <w:keepLines w:val="0"/>
        <w:pageBreakBefore w:val="0"/>
        <w:widowControl w:val="0"/>
        <w:kinsoku/>
        <w:wordWrap w:val="0"/>
        <w:overflowPunct/>
        <w:topLinePunct w:val="0"/>
        <w:autoSpaceDE/>
        <w:autoSpaceDN/>
        <w:bidi w:val="0"/>
        <w:spacing w:line="600" w:lineRule="exact"/>
        <w:ind w:firstLine="720" w:firstLineChars="200"/>
        <w:jc w:val="both"/>
        <w:textAlignment w:val="auto"/>
        <w:rPr>
          <w:rFonts w:hint="eastAsia" w:ascii="仿宋_GB2312" w:hAnsi="仿宋_GB2312" w:eastAsia="仿宋_GB2312" w:cs="仿宋_GB2312"/>
          <w:sz w:val="28"/>
          <w:szCs w:val="36"/>
        </w:rPr>
      </w:pPr>
      <w:r>
        <w:rPr>
          <w:rFonts w:hint="eastAsia" w:ascii="仿宋_GB2312" w:hAnsi="仿宋_GB2312" w:eastAsia="仿宋_GB2312" w:cs="仿宋_GB2312"/>
          <w:kern w:val="2"/>
          <w:sz w:val="36"/>
          <w:szCs w:val="36"/>
          <w:lang w:val="en-US" w:eastAsia="zh-CN" w:bidi="ar-SA"/>
          <w14:ligatures w14:val="standardContextual"/>
        </w:rPr>
        <w:t>项目名称：</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kern w:val="2"/>
          <w:sz w:val="36"/>
          <w:szCs w:val="36"/>
          <w:u w:val="single"/>
          <w:lang w:val="zh-CN" w:eastAsia="zh-CN" w:bidi="ar-SA"/>
          <w14:ligatures w14:val="standardContextual"/>
        </w:rPr>
        <w:t>2025年</w:t>
      </w:r>
      <w:r>
        <w:rPr>
          <w:rFonts w:hint="eastAsia" w:ascii="仿宋_GB2312" w:hAnsi="仿宋_GB2312" w:eastAsia="仿宋_GB2312" w:cs="仿宋_GB2312"/>
          <w:kern w:val="2"/>
          <w:sz w:val="36"/>
          <w:szCs w:val="36"/>
          <w:u w:val="single"/>
          <w:lang w:val="en-US" w:eastAsia="zh-CN" w:bidi="ar-SA"/>
          <w14:ligatures w14:val="standardContextual"/>
        </w:rPr>
        <w:t>车载部标机</w:t>
      </w:r>
      <w:r>
        <w:rPr>
          <w:rFonts w:hint="eastAsia" w:ascii="仿宋_GB2312" w:hAnsi="仿宋_GB2312" w:eastAsia="仿宋_GB2312" w:cs="仿宋_GB2312"/>
          <w:kern w:val="2"/>
          <w:sz w:val="36"/>
          <w:szCs w:val="36"/>
          <w:u w:val="single"/>
          <w:lang w:val="zh-CN" w:eastAsia="zh-CN" w:bidi="ar-SA"/>
          <w14:ligatures w14:val="standardContextual"/>
        </w:rPr>
        <w:t>采购</w:t>
      </w:r>
      <w:r>
        <w:rPr>
          <w:rFonts w:hint="eastAsia" w:ascii="仿宋_GB2312" w:hAnsi="仿宋_GB2312" w:eastAsia="仿宋_GB2312" w:cs="仿宋_GB2312"/>
          <w:kern w:val="2"/>
          <w:sz w:val="36"/>
          <w:szCs w:val="36"/>
          <w:u w:val="single"/>
          <w:lang w:val="en-US" w:eastAsia="zh-CN" w:bidi="ar-SA"/>
          <w14:ligatures w14:val="standardContextual"/>
        </w:rPr>
        <w:t>项目</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u w:val="single"/>
        </w:rPr>
        <w:t xml:space="preserve">  </w:t>
      </w:r>
    </w:p>
    <w:p w14:paraId="56ABA69B">
      <w:pPr>
        <w:pStyle w:val="1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600" w:lineRule="exact"/>
        <w:ind w:firstLine="720" w:firstLineChars="200"/>
        <w:textAlignment w:val="auto"/>
        <w:rPr>
          <w:rFonts w:hint="eastAsia" w:ascii="仿宋_GB2312" w:hAnsi="仿宋_GB2312" w:eastAsia="仿宋_GB2312" w:cs="仿宋_GB2312"/>
          <w:sz w:val="36"/>
          <w:szCs w:val="36"/>
          <w:u w:val="single"/>
        </w:rPr>
      </w:pPr>
      <w:bookmarkStart w:id="1" w:name="_Toc293916913"/>
      <w:r>
        <w:rPr>
          <w:rFonts w:hint="eastAsia" w:ascii="仿宋_GB2312" w:hAnsi="仿宋_GB2312" w:eastAsia="仿宋_GB2312" w:cs="仿宋_GB2312"/>
          <w:sz w:val="36"/>
          <w:szCs w:val="36"/>
        </w:rPr>
        <w:t>甲    方：</w:t>
      </w:r>
      <w:bookmarkEnd w:id="1"/>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val="en-US" w:eastAsia="zh-CN"/>
        </w:rPr>
        <w:t>龙游县公共交通运输有限公司</w:t>
      </w:r>
      <w:r>
        <w:rPr>
          <w:rFonts w:hint="eastAsia" w:ascii="仿宋_GB2312" w:hAnsi="仿宋_GB2312" w:eastAsia="仿宋_GB2312" w:cs="仿宋_GB2312"/>
          <w:sz w:val="36"/>
          <w:szCs w:val="36"/>
          <w:u w:val="single"/>
        </w:rPr>
        <w:t xml:space="preserve">      </w:t>
      </w:r>
    </w:p>
    <w:p w14:paraId="13B71273">
      <w:pPr>
        <w:pStyle w:val="1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600" w:lineRule="exact"/>
        <w:ind w:firstLine="720" w:firstLineChars="200"/>
        <w:textAlignment w:val="auto"/>
        <w:rPr>
          <w:rFonts w:hint="eastAsia" w:ascii="仿宋_GB2312" w:hAnsi="仿宋_GB2312" w:eastAsia="仿宋_GB2312" w:cs="仿宋_GB2312"/>
          <w:sz w:val="32"/>
          <w:szCs w:val="32"/>
        </w:rPr>
      </w:pPr>
      <w:bookmarkStart w:id="2" w:name="_Toc293916914"/>
      <w:r>
        <w:rPr>
          <w:rFonts w:hint="eastAsia" w:ascii="仿宋_GB2312" w:hAnsi="仿宋_GB2312" w:eastAsia="仿宋_GB2312" w:cs="仿宋_GB2312"/>
          <w:sz w:val="36"/>
          <w:szCs w:val="36"/>
        </w:rPr>
        <w:t>乙    方：</w:t>
      </w:r>
      <w:bookmarkEnd w:id="2"/>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2"/>
          <w:szCs w:val="32"/>
          <w:u w:val="single"/>
        </w:rPr>
        <w:t xml:space="preserve">                  </w:t>
      </w:r>
    </w:p>
    <w:p w14:paraId="651B108D">
      <w:pPr>
        <w:pStyle w:val="1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ind w:firstLine="640" w:firstLineChars="200"/>
        <w:textAlignment w:val="auto"/>
        <w:rPr>
          <w:rFonts w:hint="eastAsia" w:ascii="仿宋_GB2312" w:hAnsi="仿宋_GB2312" w:eastAsia="仿宋_GB2312" w:cs="仿宋_GB2312"/>
          <w:sz w:val="32"/>
          <w:szCs w:val="32"/>
          <w:lang w:val="en-US" w:eastAsia="zh-CN"/>
        </w:rPr>
      </w:pPr>
      <w:bookmarkStart w:id="3" w:name="_Toc293916915"/>
      <w:bookmarkStart w:id="4" w:name="_Toc24511"/>
    </w:p>
    <w:p w14:paraId="7908D97C">
      <w:pPr>
        <w:pStyle w:val="1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ind w:left="319" w:leftChars="152"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乙双方根据</w:t>
      </w:r>
      <w:r>
        <w:rPr>
          <w:rFonts w:hint="eastAsia" w:ascii="仿宋_GB2312" w:hAnsi="仿宋_GB2312" w:eastAsia="仿宋_GB2312" w:cs="仿宋_GB2312"/>
          <w:sz w:val="32"/>
          <w:szCs w:val="32"/>
          <w:lang w:val="en-US" w:eastAsia="zh-CN"/>
        </w:rPr>
        <w:t>询价采购比选，经评标委员会评定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(乙方)为中标人，甲乙双方依据相关法律法规和比选文件的要求，在平等自愿的基础上，同意按照下面的条款和条件，签署本合同。</w:t>
      </w:r>
      <w:bookmarkEnd w:id="3"/>
      <w:bookmarkEnd w:id="4"/>
    </w:p>
    <w:p w14:paraId="2C671ED3">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5" w:name="_Toc293916916"/>
      <w:r>
        <w:rPr>
          <w:rFonts w:hint="eastAsia" w:ascii="仿宋_GB2312" w:hAnsi="仿宋_GB2312" w:eastAsia="仿宋_GB2312" w:cs="仿宋_GB2312"/>
          <w:b/>
          <w:sz w:val="32"/>
          <w:szCs w:val="32"/>
        </w:rPr>
        <w:t>一、采购内容</w:t>
      </w:r>
      <w:bookmarkEnd w:id="5"/>
    </w:p>
    <w:p w14:paraId="54FFC2B1">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6" w:name="_Toc293916917"/>
      <w:r>
        <w:rPr>
          <w:rFonts w:hint="eastAsia" w:ascii="仿宋_GB2312" w:hAnsi="仿宋_GB2312" w:eastAsia="仿宋_GB2312" w:cs="仿宋_GB2312"/>
          <w:sz w:val="32"/>
          <w:szCs w:val="32"/>
        </w:rPr>
        <w:t>1.1 采购清单：详见询价文件和响应文件</w:t>
      </w:r>
      <w:bookmarkEnd w:id="6"/>
    </w:p>
    <w:p w14:paraId="6810DCAE">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7" w:name="_Toc293916918"/>
      <w:r>
        <w:rPr>
          <w:rFonts w:hint="eastAsia" w:ascii="仿宋_GB2312" w:hAnsi="仿宋_GB2312" w:eastAsia="仿宋_GB2312" w:cs="仿宋_GB2312"/>
          <w:sz w:val="32"/>
          <w:szCs w:val="32"/>
        </w:rPr>
        <w:t>1.2 型号规格：详见询价文件和响应文件</w:t>
      </w:r>
      <w:bookmarkEnd w:id="7"/>
    </w:p>
    <w:p w14:paraId="7C88F8FA">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8" w:name="_Toc293916919"/>
      <w:r>
        <w:rPr>
          <w:rFonts w:hint="eastAsia" w:ascii="仿宋_GB2312" w:hAnsi="仿宋_GB2312" w:eastAsia="仿宋_GB2312" w:cs="仿宋_GB2312"/>
          <w:sz w:val="32"/>
          <w:szCs w:val="32"/>
        </w:rPr>
        <w:t>1.3 技术参数：详见询价文件和响应文件</w:t>
      </w:r>
      <w:bookmarkEnd w:id="8"/>
    </w:p>
    <w:p w14:paraId="5188EB6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9" w:name="_Toc293916920"/>
      <w:r>
        <w:rPr>
          <w:rFonts w:hint="eastAsia" w:ascii="仿宋_GB2312" w:hAnsi="仿宋_GB2312" w:eastAsia="仿宋_GB2312" w:cs="仿宋_GB2312"/>
          <w:sz w:val="32"/>
          <w:szCs w:val="32"/>
        </w:rPr>
        <w:t>1.4 数    量：详见询价文件和响应文件</w:t>
      </w:r>
      <w:bookmarkEnd w:id="9"/>
    </w:p>
    <w:p w14:paraId="59F35D5F">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10" w:name="_Toc293916921"/>
      <w:r>
        <w:rPr>
          <w:rFonts w:hint="eastAsia" w:ascii="仿宋_GB2312" w:hAnsi="仿宋_GB2312" w:eastAsia="仿宋_GB2312" w:cs="仿宋_GB2312"/>
          <w:b/>
          <w:sz w:val="32"/>
          <w:szCs w:val="32"/>
        </w:rPr>
        <w:t>二、合同金额</w:t>
      </w:r>
      <w:bookmarkEnd w:id="10"/>
    </w:p>
    <w:p w14:paraId="00C3E37A">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11" w:name="_Toc293916922"/>
      <w:r>
        <w:rPr>
          <w:rFonts w:hint="eastAsia" w:ascii="仿宋_GB2312" w:hAnsi="仿宋_GB2312" w:eastAsia="仿宋_GB2312" w:cs="仿宋_GB2312"/>
          <w:sz w:val="32"/>
          <w:szCs w:val="32"/>
        </w:rPr>
        <w:t>2.1本合同金额为人民币（大写）：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rPr>
        <w:t xml:space="preserve">         </w:t>
      </w:r>
      <w:bookmarkStart w:id="47" w:name="_GoBack"/>
      <w:bookmarkEnd w:id="47"/>
      <w:r>
        <w:rPr>
          <w:rFonts w:hint="eastAsia" w:ascii="仿宋_GB2312" w:hAnsi="仿宋_GB2312" w:eastAsia="仿宋_GB2312" w:cs="仿宋_GB2312"/>
          <w:sz w:val="32"/>
          <w:szCs w:val="32"/>
        </w:rPr>
        <w:t>元）。</w:t>
      </w:r>
      <w:bookmarkEnd w:id="11"/>
    </w:p>
    <w:p w14:paraId="459AC60A">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12" w:name="_Toc293916923"/>
      <w:r>
        <w:rPr>
          <w:rFonts w:hint="eastAsia" w:ascii="仿宋_GB2312" w:hAnsi="仿宋_GB2312" w:eastAsia="仿宋_GB2312" w:cs="仿宋_GB2312"/>
          <w:b/>
          <w:sz w:val="32"/>
          <w:szCs w:val="32"/>
        </w:rPr>
        <w:t>三、技术资料</w:t>
      </w:r>
      <w:bookmarkEnd w:id="12"/>
    </w:p>
    <w:p w14:paraId="41EE74B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13" w:name="_Toc293916924"/>
      <w:r>
        <w:rPr>
          <w:rFonts w:hint="eastAsia" w:ascii="仿宋_GB2312" w:hAnsi="仿宋_GB2312" w:eastAsia="仿宋_GB2312" w:cs="仿宋_GB2312"/>
          <w:sz w:val="32"/>
          <w:szCs w:val="32"/>
        </w:rPr>
        <w:t>3.1乙方应按询价文件规定的时间向甲方提供使用货物的有关技术资料。</w:t>
      </w:r>
      <w:bookmarkEnd w:id="13"/>
    </w:p>
    <w:p w14:paraId="7986E105">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14" w:name="_Toc293916925"/>
      <w:r>
        <w:rPr>
          <w:rFonts w:hint="eastAsia" w:ascii="仿宋_GB2312" w:hAnsi="仿宋_GB2312" w:eastAsia="仿宋_GB2312" w:cs="仿宋_GB2312"/>
          <w:sz w:val="32"/>
          <w:szCs w:val="32"/>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bookmarkEnd w:id="14"/>
    </w:p>
    <w:p w14:paraId="6B07B85B">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15" w:name="_Toc293916926"/>
      <w:r>
        <w:rPr>
          <w:rFonts w:hint="eastAsia" w:ascii="仿宋_GB2312" w:hAnsi="仿宋_GB2312" w:eastAsia="仿宋_GB2312" w:cs="仿宋_GB2312"/>
          <w:b/>
          <w:sz w:val="32"/>
          <w:szCs w:val="32"/>
        </w:rPr>
        <w:t>四、知识产权</w:t>
      </w:r>
      <w:bookmarkEnd w:id="15"/>
    </w:p>
    <w:p w14:paraId="08460BDF">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bCs/>
          <w:sz w:val="32"/>
          <w:szCs w:val="32"/>
        </w:rPr>
      </w:pPr>
      <w:bookmarkStart w:id="16" w:name="_Toc293916927"/>
      <w:r>
        <w:rPr>
          <w:rFonts w:hint="eastAsia" w:ascii="仿宋_GB2312" w:hAnsi="仿宋_GB2312" w:eastAsia="仿宋_GB2312" w:cs="仿宋_GB2312"/>
          <w:sz w:val="32"/>
          <w:szCs w:val="32"/>
        </w:rPr>
        <w:t>4.1 乙方应保证所提供的货物或其任何一部分均不会侵犯任何第三方的知识产权</w:t>
      </w:r>
      <w:r>
        <w:rPr>
          <w:rFonts w:hint="eastAsia" w:ascii="仿宋_GB2312" w:hAnsi="仿宋_GB2312" w:eastAsia="仿宋_GB2312" w:cs="仿宋_GB2312"/>
          <w:bCs/>
          <w:sz w:val="32"/>
          <w:szCs w:val="32"/>
        </w:rPr>
        <w:t>。</w:t>
      </w:r>
      <w:bookmarkEnd w:id="16"/>
    </w:p>
    <w:p w14:paraId="0CA9C2EB">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u w:val="single"/>
        </w:rPr>
      </w:pPr>
      <w:bookmarkStart w:id="17" w:name="_Toc293916928"/>
      <w:r>
        <w:rPr>
          <w:rFonts w:hint="eastAsia" w:ascii="仿宋_GB2312" w:hAnsi="仿宋_GB2312" w:eastAsia="仿宋_GB2312" w:cs="仿宋_GB2312"/>
          <w:b/>
          <w:sz w:val="32"/>
          <w:szCs w:val="32"/>
        </w:rPr>
        <w:t>五、产权担保</w:t>
      </w:r>
      <w:bookmarkEnd w:id="17"/>
    </w:p>
    <w:p w14:paraId="421A9A5C">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u w:val="single"/>
        </w:rPr>
      </w:pPr>
      <w:bookmarkStart w:id="18" w:name="_Toc293916929"/>
      <w:r>
        <w:rPr>
          <w:rFonts w:hint="eastAsia" w:ascii="仿宋_GB2312" w:hAnsi="仿宋_GB2312" w:eastAsia="仿宋_GB2312" w:cs="仿宋_GB2312"/>
          <w:sz w:val="32"/>
          <w:szCs w:val="32"/>
        </w:rPr>
        <w:t>5.1 乙方保证所交付的货物的所有权完全属于乙方且无任何抵押、查封等产权瑕疵。</w:t>
      </w:r>
      <w:bookmarkEnd w:id="18"/>
    </w:p>
    <w:p w14:paraId="6FA4E050">
      <w:pPr>
        <w:adjustRightInd w:val="0"/>
        <w:snapToGrid w:val="0"/>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六、转包或分包</w:t>
      </w:r>
    </w:p>
    <w:p w14:paraId="00E37155">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6.1本合同范围的货物，应由乙方直接供应，不得转让他人供应；</w:t>
      </w:r>
    </w:p>
    <w:p w14:paraId="58187450">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除非得到甲方的书面同意，乙方不得部分分包给他人供应。甲方有绝对权力阻止分包。</w:t>
      </w:r>
    </w:p>
    <w:p w14:paraId="29E608DD">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6.3如有转让和未经甲方同意的分包行为，甲方有权终止合同。</w:t>
      </w:r>
    </w:p>
    <w:p w14:paraId="07EC1062">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highlight w:val="none"/>
          <w:lang w:val="en-US" w:eastAsia="zh-CN"/>
        </w:rPr>
      </w:pPr>
      <w:bookmarkStart w:id="19" w:name="_Toc293916932"/>
      <w:r>
        <w:rPr>
          <w:rFonts w:hint="eastAsia" w:ascii="仿宋_GB2312" w:hAnsi="仿宋_GB2312" w:eastAsia="仿宋_GB2312" w:cs="仿宋_GB2312"/>
          <w:b/>
          <w:sz w:val="32"/>
          <w:szCs w:val="32"/>
        </w:rPr>
        <w:t>七、</w:t>
      </w:r>
      <w:bookmarkEnd w:id="19"/>
      <w:bookmarkStart w:id="20" w:name="_Toc293916935"/>
      <w:r>
        <w:rPr>
          <w:rFonts w:hint="eastAsia" w:ascii="仿宋_GB2312" w:hAnsi="仿宋_GB2312" w:eastAsia="仿宋_GB2312" w:cs="仿宋_GB2312"/>
          <w:b/>
          <w:sz w:val="32"/>
          <w:szCs w:val="32"/>
          <w:highlight w:val="none"/>
        </w:rPr>
        <w:t>交货期、</w:t>
      </w:r>
      <w:r>
        <w:rPr>
          <w:rFonts w:hint="eastAsia" w:ascii="仿宋_GB2312" w:hAnsi="仿宋_GB2312" w:eastAsia="仿宋_GB2312" w:cs="仿宋_GB2312"/>
          <w:b/>
          <w:sz w:val="32"/>
          <w:szCs w:val="32"/>
          <w:highlight w:val="none"/>
          <w:lang w:val="en-US" w:eastAsia="zh-CN"/>
        </w:rPr>
        <w:t>安装</w:t>
      </w:r>
      <w:r>
        <w:rPr>
          <w:rFonts w:hint="eastAsia" w:ascii="仿宋_GB2312" w:hAnsi="仿宋_GB2312" w:eastAsia="仿宋_GB2312" w:cs="仿宋_GB2312"/>
          <w:b/>
          <w:sz w:val="32"/>
          <w:szCs w:val="32"/>
          <w:highlight w:val="none"/>
        </w:rPr>
        <w:t>调试和验收</w:t>
      </w:r>
    </w:p>
    <w:p w14:paraId="334896C1">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highlight w:val="none"/>
          <w:lang w:val="en-US" w:eastAsia="zh-CN" w:bidi="ar-SA"/>
          <w14:ligatures w14:val="none"/>
        </w:rPr>
      </w:pPr>
      <w:r>
        <w:rPr>
          <w:rFonts w:hint="eastAsia" w:ascii="仿宋_GB2312" w:hAnsi="仿宋_GB2312" w:eastAsia="仿宋_GB2312" w:cs="仿宋_GB2312"/>
          <w:kern w:val="2"/>
          <w:sz w:val="32"/>
          <w:szCs w:val="32"/>
          <w:highlight w:val="none"/>
          <w:lang w:val="en-US" w:eastAsia="zh-CN" w:bidi="ar-SA"/>
          <w14:ligatures w14:val="none"/>
        </w:rPr>
        <w:t>7.1 交货期：合同签定后45日内完成全部车载部标机安装调试及平台数据对接。</w:t>
      </w:r>
    </w:p>
    <w:p w14:paraId="488B5347">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highlight w:val="none"/>
          <w:lang w:val="en-US" w:eastAsia="zh-CN" w:bidi="ar-SA"/>
          <w14:ligatures w14: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bidi="ar-SA"/>
          <w14:ligatures w14:val="none"/>
        </w:rPr>
        <w:t>乙方须按甲方指定的地点及指定位置完成产品安装及调试。</w:t>
      </w:r>
    </w:p>
    <w:p w14:paraId="6BB870CD">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highlight w:val="none"/>
        </w:rPr>
      </w:pPr>
      <w:bookmarkStart w:id="21" w:name="_Toc293916948"/>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甲方对乙方提交的货物依据询价文件上的技术规格要求和国家有关质量标准进行现场验收，外观、说明书符合询价文件技术要求的，给予签收，验收不合格的不予签收。</w:t>
      </w:r>
      <w:bookmarkEnd w:id="21"/>
    </w:p>
    <w:p w14:paraId="48D5EA8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highlight w:val="none"/>
        </w:rPr>
      </w:pPr>
      <w:bookmarkStart w:id="22" w:name="_Toc293916949"/>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xml:space="preserve"> 乙方交货前应对产品作出全面检查和对验收文件进行整理，并列出清单，产品合格证、使用说明、随配附件一并附于货物内。作为甲方收货验收和使用的技术条件依据，检验的结果应随货物交甲方。</w:t>
      </w:r>
      <w:bookmarkEnd w:id="22"/>
    </w:p>
    <w:p w14:paraId="4DBD05BC">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highlight w:val="none"/>
          <w:lang w:val="en-US" w:eastAsia="zh-CN" w:bidi="ar-SA"/>
          <w14:ligatures w14:val="none"/>
        </w:rPr>
      </w:pPr>
      <w:bookmarkStart w:id="23" w:name="_Toc293916950"/>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bookmarkEnd w:id="23"/>
      <w:bookmarkStart w:id="24" w:name="_Toc293916952"/>
      <w:r>
        <w:rPr>
          <w:rFonts w:hint="eastAsia" w:ascii="仿宋_GB2312" w:hAnsi="仿宋_GB2312" w:eastAsia="仿宋_GB2312" w:cs="仿宋_GB2312"/>
          <w:sz w:val="32"/>
          <w:szCs w:val="32"/>
          <w:highlight w:val="none"/>
        </w:rPr>
        <w:t>验收时乙方必须在现场，验收完毕后作出验收结果报告，验收费用由乙方负责。</w:t>
      </w:r>
      <w:bookmarkEnd w:id="24"/>
    </w:p>
    <w:p w14:paraId="2FE496F4">
      <w:pPr>
        <w:adjustRightInd w:val="0"/>
        <w:snapToGrid w:val="0"/>
        <w:spacing w:line="360" w:lineRule="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24"/>
          <w:szCs w:val="32"/>
          <w:highlight w:val="none"/>
        </w:rPr>
        <w:t>八、</w:t>
      </w:r>
      <w:r>
        <w:rPr>
          <w:rFonts w:hint="eastAsia" w:ascii="仿宋_GB2312" w:hAnsi="仿宋_GB2312" w:eastAsia="仿宋_GB2312" w:cs="仿宋_GB2312"/>
          <w:b/>
          <w:sz w:val="32"/>
          <w:szCs w:val="32"/>
          <w:highlight w:val="none"/>
          <w:lang w:val="en-US" w:eastAsia="zh-CN"/>
        </w:rPr>
        <w:t>售后服务</w:t>
      </w:r>
    </w:p>
    <w:p w14:paraId="42C83925">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8.1乙方应按询价文件规定的货物性能、技术要求、质量标准向甲方提供未经使用的全新产品。如发生所供货物与合同规定不符，甲方有权拒收或退货，由此产生的一切责任和后果由乙方承担。</w:t>
      </w:r>
    </w:p>
    <w:p w14:paraId="741F0665">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8.2产品质保五年，质保期间有质量问题无条件维修更换（时间以全部安装调试验收合格后起始计算）。</w:t>
      </w:r>
    </w:p>
    <w:p w14:paraId="73AE4CBA">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8.3产品出现故障2个小时之内响应，24小时内完成故障处理。</w:t>
      </w:r>
    </w:p>
    <w:p w14:paraId="329BF95E">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bookmarkStart w:id="25" w:name="_Toc293916946"/>
      <w:r>
        <w:rPr>
          <w:rFonts w:hint="eastAsia" w:ascii="仿宋_GB2312" w:hAnsi="仿宋_GB2312" w:eastAsia="仿宋_GB2312" w:cs="仿宋_GB2312"/>
          <w:kern w:val="2"/>
          <w:sz w:val="32"/>
          <w:szCs w:val="32"/>
          <w:lang w:val="en-US" w:eastAsia="zh-CN" w:bidi="ar-SA"/>
          <w14:ligatures w14:val="none"/>
        </w:rPr>
        <w:t>8.4 在质量保修期内，乙方应对货物出现的质量问题负责处理解决并承担一切费用。</w:t>
      </w:r>
      <w:bookmarkEnd w:id="25"/>
    </w:p>
    <w:bookmarkEnd w:id="20"/>
    <w:p w14:paraId="2C05B74D">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lang w:val="en-US" w:eastAsia="zh-CN"/>
        </w:rPr>
      </w:pPr>
      <w:bookmarkStart w:id="26" w:name="_Toc293916937"/>
      <w:r>
        <w:rPr>
          <w:rFonts w:hint="eastAsia" w:ascii="仿宋_GB2312" w:hAnsi="仿宋_GB2312" w:eastAsia="仿宋_GB2312" w:cs="仿宋_GB2312"/>
          <w:b/>
          <w:sz w:val="32"/>
          <w:szCs w:val="32"/>
        </w:rPr>
        <w:t>九、货款支付</w:t>
      </w:r>
      <w:bookmarkEnd w:id="26"/>
      <w:r>
        <w:rPr>
          <w:rFonts w:hint="eastAsia" w:ascii="仿宋_GB2312" w:hAnsi="仿宋_GB2312" w:eastAsia="仿宋_GB2312" w:cs="仿宋_GB2312"/>
          <w:b/>
          <w:sz w:val="32"/>
          <w:szCs w:val="32"/>
          <w:lang w:val="en-US" w:eastAsia="zh-CN"/>
        </w:rPr>
        <w:t xml:space="preserve"> </w:t>
      </w:r>
    </w:p>
    <w:p w14:paraId="608BC488">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9.1 全部产品安装调试完成并验收合格后次月付款40%，产品正常运行一个月后未发现质量问题后付尾款60%。</w:t>
      </w:r>
    </w:p>
    <w:p w14:paraId="38962ADD">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9.2 乙方必须提供增值税专用发票。</w:t>
      </w:r>
    </w:p>
    <w:p w14:paraId="4EF6B491">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27" w:name="_Toc293916958"/>
      <w:r>
        <w:rPr>
          <w:rFonts w:hint="eastAsia" w:ascii="仿宋_GB2312" w:hAnsi="仿宋_GB2312" w:eastAsia="仿宋_GB2312" w:cs="仿宋_GB2312"/>
          <w:b/>
          <w:sz w:val="32"/>
          <w:szCs w:val="32"/>
        </w:rPr>
        <w:t>十、违约责任</w:t>
      </w:r>
      <w:bookmarkEnd w:id="27"/>
    </w:p>
    <w:p w14:paraId="0F0F8BD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28" w:name="_Toc293916959"/>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.1 乙方无法完成甲方指定平台数据对接的，甲方可单方面解除合同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乙方应向甲方支付合同总值百分之五的违约金，如造成甲方损失超过违约金的，超出部分由乙方继续承担赔偿责任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且三年内不得参与甲方项目投标，并按虚假应标报招标监管部门处理。</w:t>
      </w:r>
      <w:bookmarkEnd w:id="28"/>
    </w:p>
    <w:p w14:paraId="715EE205">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29" w:name="_Toc293916960"/>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 乙方所交的货物品种、型号、规格、技术参数、质量不符合合同规定及询价文件规定标准的，甲方有权拒收该货物，乙方愿意更换货物但逾期交货的，按乙方逾期交货处理。乙方拒绝更换货物的，甲方可单方面解除合同。</w:t>
      </w:r>
      <w:bookmarkEnd w:id="29"/>
      <w:bookmarkStart w:id="30" w:name="_Toc293916961"/>
    </w:p>
    <w:p w14:paraId="7E345D2E">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.3 乙方逾期交付货物的，乙方应按逾期交货总额每日千分之五向甲方支付违约金。逾期超过约定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bookmarkEnd w:id="30"/>
      <w:r>
        <w:rPr>
          <w:rFonts w:hint="eastAsia" w:ascii="仿宋_GB2312" w:hAnsi="仿宋_GB2312" w:eastAsia="仿宋_GB2312" w:cs="仿宋_GB2312"/>
          <w:sz w:val="32"/>
          <w:szCs w:val="32"/>
        </w:rPr>
        <w:t xml:space="preserve"> </w:t>
      </w:r>
    </w:p>
    <w:p w14:paraId="049F8CC9">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1" w:name="_Toc293916962"/>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.4 </w:t>
      </w:r>
      <w:bookmarkEnd w:id="31"/>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原因</w:t>
      </w:r>
      <w:r>
        <w:rPr>
          <w:rFonts w:hint="eastAsia" w:ascii="仿宋_GB2312" w:hAnsi="仿宋_GB2312" w:eastAsia="仿宋_GB2312" w:cs="仿宋_GB2312"/>
          <w:sz w:val="32"/>
          <w:szCs w:val="32"/>
        </w:rPr>
        <w:t>无故逾期验收和办理货款支付手续的，甲方应按逾期付款总额每日万分之五向乙方支付违约金。</w:t>
      </w:r>
    </w:p>
    <w:p w14:paraId="6738B073">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32" w:name="_Toc293916963"/>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、不可抗力事件处理</w:t>
      </w:r>
      <w:bookmarkEnd w:id="32"/>
    </w:p>
    <w:p w14:paraId="297418B7">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3" w:name="_Toc293916964"/>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 在合同有效期内，任何一方因不可抗力事件导致不能履行合同，则合同履行期可延长，其延长期与不可抗力影响期相同。</w:t>
      </w:r>
      <w:bookmarkEnd w:id="33"/>
    </w:p>
    <w:p w14:paraId="7C1F5999">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4" w:name="_Toc293916965"/>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 不可抗力事件发生后，应立即通知对方，并寄送有关权威机构出具的证明。</w:t>
      </w:r>
      <w:bookmarkEnd w:id="34"/>
    </w:p>
    <w:p w14:paraId="5DDC791D">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5" w:name="_Toc293916966"/>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 不可抗力事件延续120天以上，双方应通过友好协商，确定是否继续履行合同。</w:t>
      </w:r>
      <w:bookmarkEnd w:id="35"/>
    </w:p>
    <w:p w14:paraId="58D4A641">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36" w:name="_Toc293916967"/>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、诉讼</w:t>
      </w:r>
      <w:bookmarkEnd w:id="36"/>
    </w:p>
    <w:p w14:paraId="38B367C7">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7" w:name="_Toc293916968"/>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.1双方在执行合同中所发生的一切争议，应通过协商解决。如协商不成，可向龙游人民法院起诉。</w:t>
      </w:r>
      <w:bookmarkEnd w:id="37"/>
    </w:p>
    <w:p w14:paraId="0CE71EBD">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38" w:name="_Toc293916969"/>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、合同生效及其它</w:t>
      </w:r>
      <w:bookmarkEnd w:id="38"/>
    </w:p>
    <w:p w14:paraId="47A78930">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9" w:name="_Toc293916970"/>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 合同经双方法定代表人或授权委托代理人签字并加盖单位公章后生效。</w:t>
      </w:r>
      <w:bookmarkEnd w:id="39"/>
    </w:p>
    <w:p w14:paraId="6C8074C9">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40" w:name="_Toc293916971"/>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.2如需修改或补充合同内容，经协商，双方应签署书面修改或补充协议，该协议将作为本合同的一个组成部分。</w:t>
      </w:r>
      <w:bookmarkEnd w:id="40"/>
    </w:p>
    <w:p w14:paraId="5983C7A4">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41" w:name="_Toc293916972"/>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.3本合同未尽事宜，遵照《合同法》有关条文执行。</w:t>
      </w:r>
      <w:bookmarkEnd w:id="41"/>
    </w:p>
    <w:p w14:paraId="59D9F27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42" w:name="_Toc293916973"/>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.4本合同正本一式</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份，具有同等法律效力，甲方执</w:t>
      </w:r>
      <w:r>
        <w:rPr>
          <w:rFonts w:hint="eastAsia" w:ascii="仿宋_GB2312" w:hAnsi="仿宋_GB2312" w:eastAsia="仿宋_GB2312" w:cs="仿宋_GB2312"/>
          <w:sz w:val="32"/>
          <w:szCs w:val="32"/>
          <w:lang w:val="en-US" w:eastAsia="zh-CN"/>
        </w:rPr>
        <w:t>贰份，</w:t>
      </w:r>
      <w:r>
        <w:rPr>
          <w:rFonts w:hint="eastAsia" w:ascii="仿宋_GB2312" w:hAnsi="仿宋_GB2312" w:eastAsia="仿宋_GB2312" w:cs="仿宋_GB2312"/>
          <w:sz w:val="32"/>
          <w:szCs w:val="32"/>
        </w:rPr>
        <w:t>乙方执一份；</w:t>
      </w:r>
      <w:bookmarkEnd w:id="42"/>
    </w:p>
    <w:p w14:paraId="0B0C6BB8">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p>
    <w:p w14:paraId="07E29798">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bookmarkStart w:id="43" w:name="_Toc293916974"/>
      <w:r>
        <w:rPr>
          <w:rFonts w:hint="eastAsia" w:ascii="仿宋_GB2312" w:hAnsi="仿宋_GB2312" w:eastAsia="仿宋_GB2312" w:cs="仿宋_GB2312"/>
          <w:sz w:val="32"/>
          <w:szCs w:val="32"/>
        </w:rPr>
        <w:t>甲方：                          乙方：</w:t>
      </w:r>
      <w:bookmarkEnd w:id="43"/>
      <w:r>
        <w:rPr>
          <w:rFonts w:hint="eastAsia" w:ascii="仿宋_GB2312" w:hAnsi="仿宋_GB2312" w:eastAsia="仿宋_GB2312" w:cs="仿宋_GB2312"/>
          <w:sz w:val="32"/>
          <w:szCs w:val="32"/>
        </w:rPr>
        <w:t xml:space="preserve"> </w:t>
      </w:r>
    </w:p>
    <w:p w14:paraId="59C5DE7D">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bookmarkStart w:id="44" w:name="_Toc293916975"/>
      <w:r>
        <w:rPr>
          <w:rFonts w:hint="eastAsia" w:ascii="仿宋_GB2312" w:hAnsi="仿宋_GB2312" w:eastAsia="仿宋_GB2312" w:cs="仿宋_GB2312"/>
          <w:sz w:val="32"/>
          <w:szCs w:val="32"/>
        </w:rPr>
        <w:t>地址：                          地址：</w:t>
      </w:r>
      <w:bookmarkEnd w:id="44"/>
      <w:r>
        <w:rPr>
          <w:rFonts w:hint="eastAsia" w:ascii="仿宋_GB2312" w:hAnsi="仿宋_GB2312" w:eastAsia="仿宋_GB2312" w:cs="仿宋_GB2312"/>
          <w:sz w:val="32"/>
          <w:szCs w:val="32"/>
        </w:rPr>
        <w:t xml:space="preserve"> </w:t>
      </w:r>
    </w:p>
    <w:p w14:paraId="24583473">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bookmarkStart w:id="45" w:name="_Toc293916976"/>
      <w:r>
        <w:rPr>
          <w:rFonts w:hint="eastAsia" w:ascii="仿宋_GB2312" w:hAnsi="仿宋_GB2312" w:eastAsia="仿宋_GB2312" w:cs="仿宋_GB2312"/>
          <w:sz w:val="32"/>
          <w:szCs w:val="32"/>
        </w:rPr>
        <w:t>法定代表人：                   法定代表人：</w:t>
      </w:r>
      <w:bookmarkEnd w:id="45"/>
    </w:p>
    <w:p w14:paraId="24D06DD9">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bookmarkStart w:id="46" w:name="_Toc293916977"/>
      <w:r>
        <w:rPr>
          <w:rFonts w:hint="eastAsia" w:ascii="仿宋_GB2312" w:hAnsi="仿宋_GB2312" w:eastAsia="仿宋_GB2312" w:cs="仿宋_GB2312"/>
          <w:sz w:val="32"/>
          <w:szCs w:val="32"/>
        </w:rPr>
        <w:t>签订日期：  年  月  日</w:t>
      </w:r>
      <w:bookmarkEnd w:id="46"/>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签订日期：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14:paraId="78F73FC8">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p>
    <w:p w14:paraId="017A556D">
      <w:pPr>
        <w:spacing w:line="360" w:lineRule="auto"/>
        <w:rPr>
          <w:rFonts w:hint="eastAsia" w:ascii="仿宋_GB2312" w:hAnsi="仿宋_GB2312" w:eastAsia="仿宋_GB2312" w:cs="仿宋_GB2312"/>
          <w:sz w:val="32"/>
          <w:szCs w:val="32"/>
        </w:rPr>
      </w:pPr>
    </w:p>
    <w:sectPr>
      <w:pgSz w:w="11906" w:h="16838"/>
      <w:pgMar w:top="2211" w:right="1531" w:bottom="1871" w:left="1531"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0D702F-5484-40BF-B6D3-F90E7A3421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522E8A0-DC75-4DED-B90C-BBC40EF1DE84}"/>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3A624125-5C2E-43D4-979B-5D9DC813777D}"/>
  </w:font>
  <w:font w:name="新宋体">
    <w:panose1 w:val="02010609030101010101"/>
    <w:charset w:val="86"/>
    <w:family w:val="modern"/>
    <w:pitch w:val="default"/>
    <w:sig w:usb0="00000283" w:usb1="288F0000" w:usb2="00000006" w:usb3="00000000" w:csb0="00040001" w:csb1="00000000"/>
    <w:embedRegular r:id="rId4" w:fontKey="{F6FE4780-9524-49AA-A6B2-5408231694D8}"/>
  </w:font>
  <w:font w:name="仿宋_GB2312">
    <w:panose1 w:val="02010609030101010101"/>
    <w:charset w:val="86"/>
    <w:family w:val="auto"/>
    <w:pitch w:val="default"/>
    <w:sig w:usb0="00000001" w:usb1="080E0000" w:usb2="00000000" w:usb3="00000000" w:csb0="00040000" w:csb1="00000000"/>
    <w:embedRegular r:id="rId5" w:fontKey="{14ADFD62-F085-4DB3-A111-A72C4B1D9D6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D2"/>
    <w:rsid w:val="000131F0"/>
    <w:rsid w:val="00182F35"/>
    <w:rsid w:val="002158F3"/>
    <w:rsid w:val="007D56F1"/>
    <w:rsid w:val="009050D2"/>
    <w:rsid w:val="00B1384C"/>
    <w:rsid w:val="00DD6E16"/>
    <w:rsid w:val="00E2751E"/>
    <w:rsid w:val="00FA28BC"/>
    <w:rsid w:val="02557C87"/>
    <w:rsid w:val="04402D0B"/>
    <w:rsid w:val="08627ED7"/>
    <w:rsid w:val="0AD9736E"/>
    <w:rsid w:val="0B785B46"/>
    <w:rsid w:val="0BE131C2"/>
    <w:rsid w:val="0D9A6FA7"/>
    <w:rsid w:val="0F670D19"/>
    <w:rsid w:val="1A081019"/>
    <w:rsid w:val="21664BFC"/>
    <w:rsid w:val="219E50DE"/>
    <w:rsid w:val="2B275DB5"/>
    <w:rsid w:val="2F120B2A"/>
    <w:rsid w:val="32690705"/>
    <w:rsid w:val="32CE2FBA"/>
    <w:rsid w:val="39DC04B6"/>
    <w:rsid w:val="445A6392"/>
    <w:rsid w:val="45B479DF"/>
    <w:rsid w:val="4EFF65A9"/>
    <w:rsid w:val="63920B16"/>
    <w:rsid w:val="699833FF"/>
    <w:rsid w:val="6ED90EC7"/>
    <w:rsid w:val="71141F49"/>
    <w:rsid w:val="79DFB6DF"/>
    <w:rsid w:val="7E5917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7">
    <w:name w:val="heading 1"/>
    <w:basedOn w:val="1"/>
    <w:next w:val="1"/>
    <w:link w:val="24"/>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8">
    <w:name w:val="heading 2"/>
    <w:basedOn w:val="1"/>
    <w:next w:val="1"/>
    <w:link w:val="25"/>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9">
    <w:name w:val="heading 3"/>
    <w:basedOn w:val="1"/>
    <w:next w:val="1"/>
    <w:link w:val="26"/>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10">
    <w:name w:val="heading 4"/>
    <w:basedOn w:val="1"/>
    <w:next w:val="1"/>
    <w:link w:val="27"/>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11">
    <w:name w:val="heading 5"/>
    <w:basedOn w:val="1"/>
    <w:next w:val="1"/>
    <w:link w:val="28"/>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12">
    <w:name w:val="heading 6"/>
    <w:basedOn w:val="1"/>
    <w:next w:val="1"/>
    <w:link w:val="29"/>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13">
    <w:name w:val="heading 7"/>
    <w:basedOn w:val="1"/>
    <w:next w:val="1"/>
    <w:link w:val="30"/>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14">
    <w:name w:val="heading 8"/>
    <w:basedOn w:val="1"/>
    <w:next w:val="1"/>
    <w:link w:val="31"/>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5">
    <w:name w:val="heading 9"/>
    <w:basedOn w:val="1"/>
    <w:next w:val="1"/>
    <w:link w:val="32"/>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semiHidden/>
    <w:unhideWhenUsed/>
    <w:qFormat/>
    <w:uiPriority w:val="99"/>
    <w:pPr>
      <w:spacing w:after="120"/>
    </w:p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5"/>
    <w:next w:val="6"/>
    <w:qFormat/>
    <w:uiPriority w:val="0"/>
    <w:pPr>
      <w:widowControl/>
      <w:snapToGrid w:val="0"/>
      <w:ind w:firstLine="567"/>
    </w:pPr>
    <w:rPr>
      <w:rFonts w:ascii="楷体_GB2312" w:eastAsia="楷体_GB2312"/>
      <w:sz w:val="28"/>
    </w:rPr>
  </w:style>
  <w:style w:type="paragraph" w:styleId="5">
    <w:name w:val="toc 3"/>
    <w:basedOn w:val="1"/>
    <w:next w:val="1"/>
    <w:unhideWhenUsed/>
    <w:qFormat/>
    <w:uiPriority w:val="0"/>
    <w:pPr>
      <w:ind w:left="840" w:leftChars="400"/>
    </w:pPr>
  </w:style>
  <w:style w:type="paragraph" w:customStyle="1" w:styleId="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Plain Text"/>
    <w:basedOn w:val="1"/>
    <w:link w:val="44"/>
    <w:qFormat/>
    <w:uiPriority w:val="0"/>
    <w:pPr>
      <w:tabs>
        <w:tab w:val="left" w:pos="1200"/>
      </w:tabs>
      <w:spacing w:before="156" w:beforeLines="50" w:after="156" w:afterLines="50" w:line="400" w:lineRule="exact"/>
    </w:pPr>
    <w:rPr>
      <w:rFonts w:ascii="宋体" w:hAnsi="Courier New" w:eastAsiaTheme="minorEastAsia" w:cstheme="minorBidi"/>
      <w:sz w:val="24"/>
      <w14:ligatures w14:val="standardContextual"/>
    </w:rPr>
  </w:style>
  <w:style w:type="paragraph" w:styleId="17">
    <w:name w:val="footer"/>
    <w:basedOn w:val="1"/>
    <w:link w:val="43"/>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8">
    <w:name w:val="header"/>
    <w:basedOn w:val="1"/>
    <w:link w:val="42"/>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9">
    <w:name w:val="Subtitle"/>
    <w:basedOn w:val="1"/>
    <w:next w:val="1"/>
    <w:link w:val="34"/>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20">
    <w:name w:val="Normal (Web)"/>
    <w:basedOn w:val="1"/>
    <w:qFormat/>
    <w:uiPriority w:val="0"/>
    <w:pPr>
      <w:spacing w:beforeAutospacing="1" w:afterAutospacing="1"/>
      <w:jc w:val="left"/>
    </w:pPr>
    <w:rPr>
      <w:sz w:val="24"/>
    </w:rPr>
  </w:style>
  <w:style w:type="paragraph" w:styleId="21">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24">
    <w:name w:val="标题 1 字符"/>
    <w:basedOn w:val="23"/>
    <w:link w:val="7"/>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23"/>
    <w:link w:val="8"/>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23"/>
    <w:link w:val="9"/>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23"/>
    <w:link w:val="10"/>
    <w:semiHidden/>
    <w:qFormat/>
    <w:uiPriority w:val="9"/>
    <w:rPr>
      <w:rFonts w:cstheme="majorBidi"/>
      <w:color w:val="2F5597" w:themeColor="accent1" w:themeShade="BF"/>
      <w:sz w:val="28"/>
      <w:szCs w:val="28"/>
    </w:rPr>
  </w:style>
  <w:style w:type="character" w:customStyle="1" w:styleId="28">
    <w:name w:val="标题 5 字符"/>
    <w:basedOn w:val="23"/>
    <w:link w:val="11"/>
    <w:semiHidden/>
    <w:qFormat/>
    <w:uiPriority w:val="9"/>
    <w:rPr>
      <w:rFonts w:cstheme="majorBidi"/>
      <w:color w:val="2F5597" w:themeColor="accent1" w:themeShade="BF"/>
      <w:sz w:val="24"/>
    </w:rPr>
  </w:style>
  <w:style w:type="character" w:customStyle="1" w:styleId="29">
    <w:name w:val="标题 6 字符"/>
    <w:basedOn w:val="23"/>
    <w:link w:val="12"/>
    <w:semiHidden/>
    <w:qFormat/>
    <w:uiPriority w:val="9"/>
    <w:rPr>
      <w:rFonts w:cstheme="majorBidi"/>
      <w:b/>
      <w:bCs/>
      <w:color w:val="2F5597" w:themeColor="accent1" w:themeShade="BF"/>
    </w:rPr>
  </w:style>
  <w:style w:type="character" w:customStyle="1" w:styleId="30">
    <w:name w:val="标题 7 字符"/>
    <w:basedOn w:val="23"/>
    <w:link w:val="13"/>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3"/>
    <w:link w:val="14"/>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3"/>
    <w:link w:val="15"/>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3"/>
    <w:link w:val="21"/>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3"/>
    <w:link w:val="1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6">
    <w:name w:val="引用 字符"/>
    <w:basedOn w:val="23"/>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8">
    <w:name w:val="Intense Emphasis"/>
    <w:basedOn w:val="23"/>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40">
    <w:name w:val="明显引用 字符"/>
    <w:basedOn w:val="23"/>
    <w:link w:val="39"/>
    <w:qFormat/>
    <w:uiPriority w:val="30"/>
    <w:rPr>
      <w:i/>
      <w:iCs/>
      <w:color w:val="2F5597" w:themeColor="accent1" w:themeShade="BF"/>
    </w:rPr>
  </w:style>
  <w:style w:type="character" w:customStyle="1" w:styleId="41">
    <w:name w:val="Intense Reference"/>
    <w:basedOn w:val="23"/>
    <w:qFormat/>
    <w:uiPriority w:val="32"/>
    <w:rPr>
      <w:b/>
      <w:bCs/>
      <w:smallCaps/>
      <w:color w:val="2F5597" w:themeColor="accent1" w:themeShade="BF"/>
      <w:spacing w:val="5"/>
    </w:rPr>
  </w:style>
  <w:style w:type="character" w:customStyle="1" w:styleId="42">
    <w:name w:val="页眉 字符"/>
    <w:basedOn w:val="23"/>
    <w:link w:val="18"/>
    <w:qFormat/>
    <w:uiPriority w:val="99"/>
    <w:rPr>
      <w:sz w:val="18"/>
      <w:szCs w:val="18"/>
    </w:rPr>
  </w:style>
  <w:style w:type="character" w:customStyle="1" w:styleId="43">
    <w:name w:val="页脚 字符"/>
    <w:basedOn w:val="23"/>
    <w:link w:val="17"/>
    <w:qFormat/>
    <w:uiPriority w:val="99"/>
    <w:rPr>
      <w:sz w:val="18"/>
      <w:szCs w:val="18"/>
    </w:rPr>
  </w:style>
  <w:style w:type="character" w:customStyle="1" w:styleId="44">
    <w:name w:val="纯文本 字符"/>
    <w:link w:val="16"/>
    <w:qFormat/>
    <w:uiPriority w:val="0"/>
    <w:rPr>
      <w:rFonts w:ascii="宋体" w:hAnsi="Courier New"/>
      <w:sz w:val="24"/>
    </w:rPr>
  </w:style>
  <w:style w:type="character" w:customStyle="1" w:styleId="45">
    <w:name w:val="纯文本 字符1"/>
    <w:basedOn w:val="23"/>
    <w:semiHidden/>
    <w:qFormat/>
    <w:uiPriority w:val="99"/>
    <w:rPr>
      <w:rFonts w:hAnsi="Courier New" w:cs="Courier New" w:asciiTheme="minorEastAsia"/>
      <w:sz w:val="21"/>
      <w14:ligatures w14:val="none"/>
    </w:rPr>
  </w:style>
  <w:style w:type="character" w:customStyle="1" w:styleId="46">
    <w:name w:val="正文文本 字符"/>
    <w:basedOn w:val="23"/>
    <w:link w:val="2"/>
    <w:semiHidden/>
    <w:qFormat/>
    <w:uiPriority w:val="99"/>
    <w:rPr>
      <w:rFonts w:ascii="Times New Roman" w:hAnsi="Times New Roman" w:eastAsia="宋体" w:cs="Times New Roman"/>
      <w:sz w:val="21"/>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1922</Words>
  <Characters>2058</Characters>
  <Lines>113</Lines>
  <Paragraphs>106</Paragraphs>
  <TotalTime>0</TotalTime>
  <ScaleCrop>false</ScaleCrop>
  <LinksUpToDate>false</LinksUpToDate>
  <CharactersWithSpaces>2273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2025-08-04T16:34:00Z</dcterms:created>
  <dc:creator>HUAWEI</dc:creator>
  <cp:lastModifiedBy>chs1o1</cp:lastModifiedBy>
  <dcterms:modified xsi:type="dcterms:W3CDTF">2025-08-05T06:41:58Z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eyJoZGlkIjoiMjU2NDg2MTI0MTg1MzQ4MmE0NTMxYWNjZTc5OGMzMzgiLCJ1c2VySWQiOiI1MDMzNzgzMDIifQ==</vt:lpwstr>
  </property>
  <property fmtid="{D5CDD505-2E9C-101B-9397-08002B2CF9AE}" pid="3" name="KSOProductBuildVer">
    <vt:lpwstr>2052-12.1.0.21915</vt:lpwstr>
  </property>
  <property fmtid="{D5CDD505-2E9C-101B-9397-08002B2CF9AE}" pid="4" name="ICV">
    <vt:lpwstr>DD4FA29DD6664323B2ADFE02078450C2_12</vt:lpwstr>
  </property>
</Properties>
</file>