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ind w:right="-84" w:rightChars="-40"/>
        <w:jc w:val="center"/>
        <w:rPr>
          <w:rFonts w:hint="eastAsia" w:ascii="宋体" w:hAnsi="宋体" w:cs="宋体"/>
          <w:color w:val="auto"/>
          <w:highlight w:val="none"/>
        </w:rPr>
      </w:pPr>
      <w:bookmarkStart w:id="0" w:name="_Toc28844"/>
      <w:bookmarkStart w:id="1" w:name="_Toc22525"/>
      <w:bookmarkStart w:id="2" w:name="_Toc7518"/>
      <w:bookmarkStart w:id="3" w:name="_Toc211745570"/>
      <w:bookmarkStart w:id="4" w:name="_Toc82873329"/>
      <w:bookmarkStart w:id="5" w:name="_Toc82338246"/>
      <w:r>
        <w:rPr>
          <w:rFonts w:hint="eastAsia" w:ascii="宋体" w:hAnsi="宋体" w:cs="宋体"/>
          <w:color w:val="auto"/>
          <w:highlight w:val="none"/>
        </w:rPr>
        <w:t>采购合同主要条款</w:t>
      </w:r>
      <w:bookmarkEnd w:id="0"/>
      <w:bookmarkEnd w:id="1"/>
      <w:bookmarkEnd w:id="2"/>
    </w:p>
    <w:p>
      <w:pPr>
        <w:pStyle w:val="13"/>
        <w:spacing w:before="0" w:line="430" w:lineRule="exact"/>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（具体文本以实际签署的为准）</w:t>
      </w:r>
    </w:p>
    <w:p>
      <w:pPr>
        <w:spacing w:line="460" w:lineRule="exact"/>
        <w:ind w:firstLine="48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项目名称：</w:t>
      </w:r>
      <w:r>
        <w:rPr>
          <w:rFonts w:hint="eastAsia" w:ascii="宋体" w:hAnsi="宋体" w:cs="宋体"/>
          <w:color w:val="auto"/>
          <w:sz w:val="21"/>
          <w:szCs w:val="21"/>
          <w:highlight w:val="none"/>
          <w:lang w:val="en-US" w:eastAsia="zh-CN"/>
        </w:rPr>
        <w:t xml:space="preserve"> </w:t>
      </w:r>
    </w:p>
    <w:p>
      <w:pPr>
        <w:spacing w:line="460" w:lineRule="exact"/>
        <w:ind w:firstLine="48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甲方：</w:t>
      </w:r>
      <w:r>
        <w:rPr>
          <w:rFonts w:hint="eastAsia" w:ascii="宋体" w:hAnsi="宋体" w:cs="宋体"/>
          <w:color w:val="auto"/>
          <w:sz w:val="21"/>
          <w:szCs w:val="21"/>
          <w:highlight w:val="none"/>
          <w:lang w:val="en-US" w:eastAsia="zh-CN"/>
        </w:rPr>
        <w:t xml:space="preserve"> </w:t>
      </w:r>
    </w:p>
    <w:p>
      <w:pPr>
        <w:spacing w:line="460" w:lineRule="exact"/>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w:t>
      </w:r>
    </w:p>
    <w:p>
      <w:pPr>
        <w:spacing w:line="460" w:lineRule="exact"/>
        <w:ind w:firstLine="480"/>
        <w:rPr>
          <w:rFonts w:hint="eastAsia" w:ascii="宋体" w:hAnsi="宋体" w:eastAsia="宋体" w:cs="宋体"/>
          <w:b/>
          <w:bCs/>
          <w:color w:val="auto"/>
          <w:sz w:val="21"/>
          <w:szCs w:val="21"/>
          <w:highlight w:val="none"/>
        </w:rPr>
      </w:pPr>
      <w:bookmarkStart w:id="6" w:name="_Toc457974255"/>
      <w:bookmarkStart w:id="7" w:name="_Toc1907"/>
      <w:bookmarkStart w:id="8" w:name="_Toc485881249"/>
      <w:r>
        <w:rPr>
          <w:rFonts w:hint="eastAsia" w:ascii="宋体" w:hAnsi="宋体" w:eastAsia="宋体" w:cs="宋体"/>
          <w:b/>
          <w:bCs/>
          <w:color w:val="auto"/>
          <w:sz w:val="21"/>
          <w:szCs w:val="21"/>
          <w:highlight w:val="none"/>
        </w:rPr>
        <w:t>一、总则</w:t>
      </w:r>
    </w:p>
    <w:p>
      <w:pPr>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1．合同基本条款是指采购人（以下简称甲方）和成交供应商（以下简称乙方）应共同遵守的基本原则，并作为双方签约的依据。对于合同的其他条款，双方应本着互谅互让的精神协商解决。</w:t>
      </w:r>
    </w:p>
    <w:p>
      <w:pPr>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2．制定“合同主要条款”的依据是《中华人民共和国合同法》。</w:t>
      </w:r>
    </w:p>
    <w:p>
      <w:pPr>
        <w:spacing w:line="460" w:lineRule="exact"/>
        <w:ind w:firstLine="48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采购内容</w:t>
      </w:r>
    </w:p>
    <w:tbl>
      <w:tblPr>
        <w:tblStyle w:val="11"/>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1086"/>
        <w:gridCol w:w="1241"/>
        <w:gridCol w:w="1861"/>
        <w:gridCol w:w="2015"/>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7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名称</w:t>
            </w:r>
          </w:p>
        </w:tc>
        <w:tc>
          <w:tcPr>
            <w:tcW w:w="10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数量</w:t>
            </w:r>
          </w:p>
        </w:tc>
        <w:tc>
          <w:tcPr>
            <w:tcW w:w="12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单位</w:t>
            </w:r>
          </w:p>
        </w:tc>
        <w:tc>
          <w:tcPr>
            <w:tcW w:w="18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单价(元）</w:t>
            </w:r>
          </w:p>
        </w:tc>
        <w:tc>
          <w:tcPr>
            <w:tcW w:w="20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总价（元）</w:t>
            </w:r>
          </w:p>
        </w:tc>
        <w:tc>
          <w:tcPr>
            <w:tcW w:w="8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58"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sz w:val="21"/>
                <w:szCs w:val="21"/>
              </w:rPr>
            </w:pPr>
          </w:p>
        </w:tc>
        <w:tc>
          <w:tcPr>
            <w:tcW w:w="1086" w:type="dxa"/>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sz w:val="21"/>
                <w:szCs w:val="21"/>
              </w:rPr>
            </w:pPr>
          </w:p>
        </w:tc>
        <w:tc>
          <w:tcPr>
            <w:tcW w:w="1241" w:type="dxa"/>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sz w:val="21"/>
                <w:szCs w:val="21"/>
              </w:rPr>
            </w:pPr>
          </w:p>
        </w:tc>
        <w:tc>
          <w:tcPr>
            <w:tcW w:w="1861" w:type="dxa"/>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sz w:val="21"/>
                <w:szCs w:val="21"/>
              </w:rPr>
            </w:pPr>
          </w:p>
        </w:tc>
        <w:tc>
          <w:tcPr>
            <w:tcW w:w="2015" w:type="dxa"/>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sz w:val="21"/>
                <w:szCs w:val="21"/>
              </w:rPr>
            </w:pPr>
          </w:p>
        </w:tc>
        <w:tc>
          <w:tcPr>
            <w:tcW w:w="876" w:type="dxa"/>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58"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sz w:val="21"/>
                <w:szCs w:val="21"/>
              </w:rPr>
            </w:pPr>
          </w:p>
        </w:tc>
        <w:tc>
          <w:tcPr>
            <w:tcW w:w="1086" w:type="dxa"/>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sz w:val="21"/>
                <w:szCs w:val="21"/>
              </w:rPr>
            </w:pPr>
          </w:p>
        </w:tc>
        <w:tc>
          <w:tcPr>
            <w:tcW w:w="1241" w:type="dxa"/>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sz w:val="21"/>
                <w:szCs w:val="21"/>
              </w:rPr>
            </w:pPr>
          </w:p>
        </w:tc>
        <w:tc>
          <w:tcPr>
            <w:tcW w:w="1861" w:type="dxa"/>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sz w:val="21"/>
                <w:szCs w:val="21"/>
              </w:rPr>
            </w:pPr>
          </w:p>
        </w:tc>
        <w:tc>
          <w:tcPr>
            <w:tcW w:w="2015" w:type="dxa"/>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sz w:val="21"/>
                <w:szCs w:val="21"/>
              </w:rPr>
            </w:pPr>
          </w:p>
        </w:tc>
        <w:tc>
          <w:tcPr>
            <w:tcW w:w="876" w:type="dxa"/>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58"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000000"/>
                <w:sz w:val="21"/>
                <w:szCs w:val="21"/>
              </w:rPr>
            </w:pPr>
          </w:p>
        </w:tc>
        <w:tc>
          <w:tcPr>
            <w:tcW w:w="1086" w:type="dxa"/>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sz w:val="21"/>
                <w:szCs w:val="21"/>
              </w:rPr>
            </w:pPr>
          </w:p>
        </w:tc>
        <w:tc>
          <w:tcPr>
            <w:tcW w:w="1241" w:type="dxa"/>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sz w:val="21"/>
                <w:szCs w:val="21"/>
              </w:rPr>
            </w:pPr>
          </w:p>
        </w:tc>
        <w:tc>
          <w:tcPr>
            <w:tcW w:w="1861" w:type="dxa"/>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sz w:val="21"/>
                <w:szCs w:val="21"/>
              </w:rPr>
            </w:pPr>
          </w:p>
        </w:tc>
        <w:tc>
          <w:tcPr>
            <w:tcW w:w="2015" w:type="dxa"/>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sz w:val="21"/>
                <w:szCs w:val="21"/>
              </w:rPr>
            </w:pPr>
          </w:p>
        </w:tc>
        <w:tc>
          <w:tcPr>
            <w:tcW w:w="876" w:type="dxa"/>
            <w:noWrap w:val="0"/>
            <w:vAlign w:val="top"/>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000000"/>
                <w:sz w:val="21"/>
                <w:szCs w:val="21"/>
              </w:rPr>
            </w:pPr>
          </w:p>
        </w:tc>
      </w:tr>
    </w:tbl>
    <w:p>
      <w:pPr>
        <w:spacing w:line="460" w:lineRule="exact"/>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、合同金额</w:t>
      </w:r>
    </w:p>
    <w:p>
      <w:pPr>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w:t>
      </w:r>
      <w:r>
        <w:rPr>
          <w:rFonts w:hint="eastAsia" w:ascii="宋体" w:hAnsi="宋体" w:eastAsia="宋体" w:cs="宋体"/>
          <w:color w:val="auto"/>
          <w:sz w:val="21"/>
          <w:szCs w:val="21"/>
          <w:highlight w:val="none"/>
        </w:rPr>
        <w:t>合同总价为：（大写）：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元整（</w:t>
      </w:r>
      <w:r>
        <w:rPr>
          <w:rFonts w:hint="eastAsia" w:ascii="宋体" w:hAnsi="宋体" w:cs="宋体"/>
          <w:color w:val="auto"/>
          <w:sz w:val="21"/>
          <w:szCs w:val="21"/>
          <w:highlight w:val="none"/>
          <w:u w:val="single"/>
          <w:lang w:val="en-US" w:eastAsia="zh-CN"/>
        </w:rPr>
        <w:t xml:space="preserve"> </w:t>
      </w:r>
      <w:r>
        <w:rPr>
          <w:rFonts w:hint="default" w:ascii="Arial" w:hAnsi="Arial" w:cs="Arial"/>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元）</w:t>
      </w:r>
    </w:p>
    <w:p>
      <w:pPr>
        <w:widowControl/>
        <w:tabs>
          <w:tab w:val="center" w:pos="4771"/>
        </w:tabs>
        <w:spacing w:line="380" w:lineRule="exact"/>
        <w:ind w:firstLine="415" w:firstLineChars="19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采用总价包干合同，包括货款、标准附件、产品标配的配件耗材、专用工具、包装、运输、装卸、保险、税金、货到就位以及安装、调试、培训、</w:t>
      </w:r>
      <w:r>
        <w:rPr>
          <w:rFonts w:hint="eastAsia" w:ascii="宋体" w:hAnsi="宋体" w:eastAsia="宋体" w:cs="宋体"/>
          <w:color w:val="auto"/>
          <w:sz w:val="21"/>
          <w:szCs w:val="21"/>
          <w:lang w:eastAsia="zh-CN"/>
        </w:rPr>
        <w:t>标定</w:t>
      </w:r>
      <w:r>
        <w:rPr>
          <w:rFonts w:hint="eastAsia" w:ascii="宋体" w:hAnsi="宋体" w:eastAsia="宋体" w:cs="宋体"/>
          <w:color w:val="auto"/>
          <w:sz w:val="21"/>
          <w:szCs w:val="21"/>
          <w:lang w:val="en-US" w:eastAsia="zh-CN"/>
        </w:rPr>
        <w:t>检测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rPr>
        <w:t>保修等一切税金和费用。中标后不允许擅自改变服务内容、质量标准、期限和追加项目费用。</w:t>
      </w:r>
    </w:p>
    <w:p>
      <w:pPr>
        <w:spacing w:line="460" w:lineRule="exact"/>
        <w:ind w:firstLine="48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、知识产权</w:t>
      </w:r>
    </w:p>
    <w:p>
      <w:pPr>
        <w:tabs>
          <w:tab w:val="left" w:pos="900"/>
          <w:tab w:val="left" w:pos="1080"/>
        </w:tabs>
        <w:snapToGrid w:val="0"/>
        <w:spacing w:line="460" w:lineRule="exact"/>
        <w:ind w:firstLine="48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乙方应保证提供服务过程中不会侵犯任何第三方的知识产权。</w:t>
      </w:r>
    </w:p>
    <w:p>
      <w:pPr>
        <w:spacing w:line="460" w:lineRule="exact"/>
        <w:ind w:firstLine="48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、转包或分包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 w:val="21"/>
          <w:szCs w:val="21"/>
        </w:rPr>
      </w:pPr>
      <w:r>
        <w:rPr>
          <w:rFonts w:hint="eastAsia" w:ascii="宋体" w:hAnsi="宋体"/>
          <w:sz w:val="21"/>
          <w:szCs w:val="21"/>
        </w:rPr>
        <w:t>1、本合同范围的货物，应由乙方直接供应，不得转让他人供应；</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 w:val="21"/>
          <w:szCs w:val="21"/>
        </w:rPr>
      </w:pPr>
      <w:r>
        <w:rPr>
          <w:rFonts w:hint="eastAsia" w:ascii="宋体" w:hAnsi="宋体"/>
          <w:sz w:val="21"/>
          <w:szCs w:val="21"/>
        </w:rPr>
        <w:t>2、除非得到甲方的书面同意，乙方不得将本合同货物的全部或部分分包给他人供应；</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 w:val="21"/>
          <w:szCs w:val="21"/>
        </w:rPr>
      </w:pPr>
      <w:r>
        <w:rPr>
          <w:rFonts w:hint="eastAsia" w:ascii="宋体" w:hAnsi="宋体"/>
          <w:sz w:val="21"/>
          <w:szCs w:val="21"/>
        </w:rPr>
        <w:t>3、如有转让和未经甲方同意的分包行为，甲方有权解除合同，并追究乙方的违约责任。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b/>
          <w:sz w:val="21"/>
          <w:szCs w:val="21"/>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b/>
          <w:sz w:val="21"/>
          <w:szCs w:val="21"/>
        </w:rPr>
        <w:t>交货期</w:t>
      </w:r>
      <w:r>
        <w:rPr>
          <w:rFonts w:ascii="宋体" w:hAnsi="宋体"/>
          <w:b/>
          <w:sz w:val="21"/>
          <w:szCs w:val="21"/>
        </w:rPr>
        <w:t>、</w:t>
      </w:r>
      <w:r>
        <w:rPr>
          <w:rFonts w:hint="eastAsia" w:ascii="宋体" w:hAnsi="宋体"/>
          <w:b/>
          <w:sz w:val="21"/>
          <w:szCs w:val="21"/>
        </w:rPr>
        <w:t>交货</w:t>
      </w:r>
      <w:r>
        <w:rPr>
          <w:rFonts w:ascii="宋体" w:hAnsi="宋体"/>
          <w:b/>
          <w:sz w:val="21"/>
          <w:szCs w:val="21"/>
        </w:rPr>
        <w:t>方式及</w:t>
      </w:r>
      <w:r>
        <w:rPr>
          <w:rFonts w:hint="eastAsia" w:ascii="宋体" w:hAnsi="宋体"/>
          <w:b/>
          <w:sz w:val="21"/>
          <w:szCs w:val="21"/>
        </w:rPr>
        <w:t>交货</w:t>
      </w:r>
      <w:r>
        <w:rPr>
          <w:rFonts w:ascii="宋体" w:hAnsi="宋体"/>
          <w:b/>
          <w:sz w:val="21"/>
          <w:szCs w:val="21"/>
        </w:rPr>
        <w:t>地点</w:t>
      </w:r>
    </w:p>
    <w:p>
      <w:pPr>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FF0000"/>
          <w:sz w:val="21"/>
          <w:szCs w:val="21"/>
          <w:u w:val="single"/>
        </w:rPr>
      </w:pPr>
      <w:r>
        <w:rPr>
          <w:rFonts w:hint="eastAsia" w:ascii="宋体" w:hAnsi="宋体"/>
          <w:sz w:val="21"/>
          <w:szCs w:val="21"/>
        </w:rPr>
        <w:t>1.供货期：</w:t>
      </w:r>
      <w:r>
        <w:rPr>
          <w:rFonts w:hint="eastAsia" w:ascii="宋体" w:hAnsi="宋体"/>
          <w:sz w:val="21"/>
          <w:szCs w:val="21"/>
          <w:u w:val="single"/>
          <w:lang w:val="en-US" w:eastAsia="zh-CN"/>
        </w:rPr>
        <w:t>合同签订后5个日历天（具体时间节点以采购人通知为准）</w:t>
      </w:r>
      <w:r>
        <w:rPr>
          <w:rFonts w:hint="eastAsia" w:ascii="宋体" w:hAnsi="宋体"/>
          <w:color w:val="auto"/>
          <w:sz w:val="21"/>
          <w:szCs w:val="21"/>
        </w:rPr>
        <w:t>。</w:t>
      </w:r>
    </w:p>
    <w:p>
      <w:pPr>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 w:val="21"/>
          <w:szCs w:val="21"/>
        </w:rPr>
      </w:pPr>
      <w:r>
        <w:rPr>
          <w:rFonts w:ascii="宋体" w:hAnsi="宋体"/>
          <w:sz w:val="21"/>
          <w:szCs w:val="21"/>
        </w:rPr>
        <w:t>2</w:t>
      </w:r>
      <w:r>
        <w:rPr>
          <w:rFonts w:hint="eastAsia" w:ascii="宋体" w:hAnsi="宋体"/>
          <w:sz w:val="21"/>
          <w:szCs w:val="21"/>
        </w:rPr>
        <w:t>.交货</w:t>
      </w:r>
      <w:r>
        <w:rPr>
          <w:rFonts w:ascii="宋体" w:hAnsi="宋体"/>
          <w:sz w:val="21"/>
          <w:szCs w:val="21"/>
        </w:rPr>
        <w:t>方式：</w:t>
      </w:r>
      <w:r>
        <w:rPr>
          <w:rFonts w:hint="eastAsia" w:ascii="宋体" w:hAnsi="宋体"/>
          <w:sz w:val="21"/>
          <w:szCs w:val="21"/>
          <w:u w:val="single"/>
        </w:rPr>
        <w:t>按甲方要求送货并安装完成</w:t>
      </w:r>
      <w:r>
        <w:rPr>
          <w:rFonts w:hint="eastAsia" w:ascii="宋体" w:hAnsi="宋体"/>
          <w:sz w:val="21"/>
          <w:szCs w:val="21"/>
        </w:rPr>
        <w:t>。</w:t>
      </w:r>
    </w:p>
    <w:p>
      <w:pPr>
        <w:spacing w:line="360" w:lineRule="auto"/>
        <w:ind w:firstLine="420" w:firstLineChars="200"/>
        <w:rPr>
          <w:rFonts w:hint="eastAsia" w:ascii="宋体" w:hAnsi="宋体"/>
          <w:sz w:val="21"/>
          <w:szCs w:val="21"/>
        </w:rPr>
      </w:pPr>
      <w:r>
        <w:rPr>
          <w:rFonts w:ascii="宋体" w:hAnsi="宋体"/>
          <w:sz w:val="21"/>
          <w:szCs w:val="21"/>
        </w:rPr>
        <w:t>3</w:t>
      </w:r>
      <w:r>
        <w:rPr>
          <w:rFonts w:hint="eastAsia" w:ascii="宋体" w:hAnsi="宋体"/>
          <w:sz w:val="21"/>
          <w:szCs w:val="21"/>
        </w:rPr>
        <w:t>.交货</w:t>
      </w:r>
      <w:r>
        <w:rPr>
          <w:rFonts w:ascii="宋体" w:hAnsi="宋体"/>
          <w:sz w:val="21"/>
          <w:szCs w:val="21"/>
        </w:rPr>
        <w:t>地点：</w:t>
      </w:r>
      <w:r>
        <w:rPr>
          <w:rFonts w:hint="eastAsia" w:ascii="宋体" w:hAnsi="宋体"/>
          <w:sz w:val="21"/>
          <w:szCs w:val="21"/>
          <w:u w:val="single"/>
          <w:lang w:val="en-US" w:eastAsia="zh-CN"/>
        </w:rPr>
        <w:t>采购人指定地点</w:t>
      </w:r>
      <w:r>
        <w:rPr>
          <w:rFonts w:hint="eastAsia" w:ascii="宋体" w:hAnsi="宋体"/>
          <w:sz w:val="21"/>
          <w:szCs w:val="21"/>
        </w:rPr>
        <w:t>。</w:t>
      </w:r>
    </w:p>
    <w:p>
      <w:pPr>
        <w:spacing w:line="460" w:lineRule="exact"/>
        <w:ind w:firstLine="48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、款项支付</w:t>
      </w:r>
    </w:p>
    <w:p>
      <w:pPr>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付款方式：</w:t>
      </w:r>
      <w:r>
        <w:rPr>
          <w:rFonts w:hint="eastAsia" w:ascii="宋体" w:hAnsi="宋体"/>
          <w:sz w:val="21"/>
          <w:szCs w:val="21"/>
          <w:highlight w:val="none"/>
          <w:lang w:val="en-US" w:eastAsia="zh-CN"/>
        </w:rPr>
        <w:t>签订合同，</w:t>
      </w:r>
      <w:r>
        <w:rPr>
          <w:rFonts w:hint="eastAsia" w:ascii="宋体" w:hAnsi="宋体" w:eastAsia="宋体" w:cs="Times New Roman"/>
          <w:sz w:val="21"/>
          <w:szCs w:val="21"/>
          <w:highlight w:val="none"/>
          <w:lang w:val="en-US" w:eastAsia="zh-CN"/>
        </w:rPr>
        <w:t>货到后验收合格后30日内</w:t>
      </w:r>
      <w:r>
        <w:rPr>
          <w:rFonts w:hint="eastAsia" w:ascii="宋体" w:hAnsi="宋体" w:cs="Times New Roman"/>
          <w:sz w:val="21"/>
          <w:szCs w:val="21"/>
          <w:highlight w:val="none"/>
          <w:lang w:val="en-US" w:eastAsia="zh-CN"/>
        </w:rPr>
        <w:t>，</w:t>
      </w:r>
      <w:r>
        <w:rPr>
          <w:rFonts w:hint="eastAsia" w:ascii="宋体" w:hAnsi="宋体" w:eastAsia="宋体" w:cs="Times New Roman"/>
          <w:sz w:val="21"/>
          <w:szCs w:val="21"/>
          <w:highlight w:val="none"/>
          <w:lang w:val="en-US" w:eastAsia="zh-CN"/>
        </w:rPr>
        <w:t>按采购人要求提供增值税专用发票一次性结清</w:t>
      </w:r>
      <w:bookmarkStart w:id="9" w:name="_GoBack"/>
      <w:r>
        <w:rPr>
          <w:rFonts w:hint="eastAsia" w:ascii="宋体" w:hAnsi="宋体" w:eastAsia="宋体" w:cs="Times New Roman"/>
          <w:sz w:val="21"/>
          <w:szCs w:val="21"/>
          <w:highlight w:val="none"/>
          <w:lang w:val="en-US" w:eastAsia="zh-CN"/>
        </w:rPr>
        <w:t>。</w:t>
      </w:r>
      <w:bookmarkEnd w:id="9"/>
    </w:p>
    <w:p>
      <w:pPr>
        <w:keepNext w:val="0"/>
        <w:keepLines w:val="0"/>
        <w:pageBreakBefore w:val="0"/>
        <w:widowControl w:val="0"/>
        <w:kinsoku/>
        <w:wordWrap/>
        <w:overflowPunct/>
        <w:topLinePunct w:val="0"/>
        <w:autoSpaceDE/>
        <w:autoSpaceDN/>
        <w:bidi w:val="0"/>
        <w:adjustRightInd w:val="0"/>
        <w:snapToGrid w:val="0"/>
        <w:spacing w:line="360" w:lineRule="auto"/>
        <w:ind w:left="208" w:leftChars="99" w:right="-84" w:rightChars="-40" w:firstLine="216" w:firstLineChars="103"/>
        <w:textAlignment w:val="auto"/>
        <w:rPr>
          <w:rFonts w:hint="eastAsia" w:ascii="宋体" w:hAnsi="宋体" w:eastAsia="宋体" w:cs="Times New Roman"/>
          <w:sz w:val="21"/>
          <w:szCs w:val="21"/>
        </w:rPr>
      </w:pPr>
      <w:r>
        <w:rPr>
          <w:rFonts w:hint="eastAsia" w:ascii="宋体" w:hAnsi="宋体" w:eastAsia="宋体" w:cs="Times New Roman"/>
          <w:sz w:val="21"/>
          <w:szCs w:val="21"/>
        </w:rPr>
        <w:t>2.当采购数量与实际使用数量不一致时，乙方应根据实际使用量，供货合同的最终结算金额按实际使用量乘以中标（成交）单价进行计算。</w:t>
      </w:r>
    </w:p>
    <w:p>
      <w:pPr>
        <w:keepNext w:val="0"/>
        <w:keepLines w:val="0"/>
        <w:pageBreakBefore w:val="0"/>
        <w:widowControl w:val="0"/>
        <w:kinsoku/>
        <w:wordWrap/>
        <w:overflowPunct/>
        <w:topLinePunct w:val="0"/>
        <w:autoSpaceDE/>
        <w:autoSpaceDN/>
        <w:bidi w:val="0"/>
        <w:adjustRightInd w:val="0"/>
        <w:snapToGrid w:val="0"/>
        <w:spacing w:line="360" w:lineRule="auto"/>
        <w:ind w:left="208" w:leftChars="99" w:right="-84" w:rightChars="-40" w:firstLine="216" w:firstLineChars="103"/>
        <w:textAlignment w:val="auto"/>
        <w:rPr>
          <w:rFonts w:hint="eastAsia" w:ascii="宋体" w:hAnsi="宋体" w:eastAsia="宋体" w:cs="Times New Roman"/>
          <w:sz w:val="21"/>
          <w:szCs w:val="21"/>
        </w:rPr>
      </w:pP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若在质保期出现质量问题</w:t>
      </w:r>
      <w:r>
        <w:rPr>
          <w:rFonts w:hint="eastAsia" w:ascii="宋体" w:hAnsi="宋体" w:eastAsia="宋体" w:cs="Times New Roman"/>
          <w:sz w:val="21"/>
          <w:szCs w:val="21"/>
          <w:lang w:eastAsia="zh-CN"/>
        </w:rPr>
        <w:t>乙方维修不及时或维修不到位，每出现一次</w:t>
      </w:r>
      <w:r>
        <w:rPr>
          <w:rFonts w:hint="eastAsia" w:ascii="宋体" w:hAnsi="宋体" w:eastAsia="宋体" w:cs="Times New Roman"/>
          <w:sz w:val="21"/>
          <w:szCs w:val="21"/>
        </w:rPr>
        <w:t>甲方有权</w:t>
      </w:r>
      <w:r>
        <w:rPr>
          <w:rFonts w:hint="eastAsia" w:ascii="宋体" w:hAnsi="宋体" w:eastAsia="宋体" w:cs="Times New Roman"/>
          <w:sz w:val="21"/>
          <w:szCs w:val="21"/>
          <w:lang w:eastAsia="zh-CN"/>
        </w:rPr>
        <w:t>将增加</w:t>
      </w:r>
      <w:r>
        <w:rPr>
          <w:rFonts w:hint="eastAsia" w:ascii="宋体" w:hAnsi="宋体" w:eastAsia="宋体" w:cs="Times New Roman"/>
          <w:sz w:val="21"/>
          <w:szCs w:val="21"/>
          <w:lang w:val="en-US" w:eastAsia="zh-CN"/>
        </w:rPr>
        <w:t>3个月的</w:t>
      </w:r>
      <w:r>
        <w:rPr>
          <w:rFonts w:hint="eastAsia" w:ascii="宋体" w:hAnsi="宋体" w:eastAsia="宋体" w:cs="Times New Roman"/>
          <w:sz w:val="21"/>
          <w:szCs w:val="21"/>
          <w:lang w:eastAsia="zh-CN"/>
        </w:rPr>
        <w:t>履约保修期。</w:t>
      </w:r>
    </w:p>
    <w:p>
      <w:pPr>
        <w:spacing w:line="460" w:lineRule="exact"/>
        <w:ind w:firstLine="48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、税费</w:t>
      </w:r>
    </w:p>
    <w:p>
      <w:pPr>
        <w:tabs>
          <w:tab w:val="left" w:pos="360"/>
        </w:tabs>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w:t>
      </w:r>
    </w:p>
    <w:p>
      <w:pPr>
        <w:spacing w:line="460" w:lineRule="exact"/>
        <w:ind w:firstLine="48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w:t>
      </w:r>
      <w:r>
        <w:rPr>
          <w:rFonts w:hint="eastAsia" w:ascii="宋体" w:hAnsi="宋体"/>
          <w:b/>
          <w:sz w:val="21"/>
          <w:szCs w:val="21"/>
        </w:rPr>
        <w:t>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sz w:val="21"/>
          <w:szCs w:val="21"/>
        </w:rPr>
      </w:pPr>
      <w:r>
        <w:rPr>
          <w:rFonts w:hint="eastAsia" w:ascii="宋体" w:hAnsi="宋体"/>
          <w:sz w:val="21"/>
          <w:szCs w:val="21"/>
        </w:rPr>
        <w:t>1. 乙方应按招标文件规定的货物性能、技术要求、质量标准向甲方提供未经使用的全新产品。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sz w:val="21"/>
          <w:szCs w:val="21"/>
        </w:rPr>
      </w:pPr>
      <w:r>
        <w:rPr>
          <w:rFonts w:hint="eastAsia" w:ascii="宋体" w:hAnsi="宋体"/>
          <w:sz w:val="21"/>
          <w:szCs w:val="21"/>
        </w:rPr>
        <w:t>2. 乙方提供的货物在质保期内因货物本身的质量问题发生故障，乙方应负责免费更换。对达不到技术要求者，根据实际情况，经双方协商，可按以下办法处理：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sz w:val="21"/>
          <w:szCs w:val="21"/>
        </w:rPr>
      </w:pPr>
      <w:r>
        <w:rPr>
          <w:rFonts w:hint="eastAsia" w:ascii="宋体" w:hAnsi="宋体"/>
          <w:sz w:val="21"/>
          <w:szCs w:val="21"/>
        </w:rPr>
        <w:t>⑴更换：由乙方承担所发生的全部费用。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sz w:val="21"/>
          <w:szCs w:val="21"/>
        </w:rPr>
      </w:pPr>
      <w:r>
        <w:rPr>
          <w:rFonts w:hint="eastAsia" w:ascii="宋体" w:hAnsi="宋体"/>
          <w:sz w:val="21"/>
          <w:szCs w:val="21"/>
        </w:rPr>
        <w:t>⑵贬值处理：由甲乙双方合议定价。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sz w:val="21"/>
          <w:szCs w:val="21"/>
        </w:rPr>
      </w:pPr>
      <w:r>
        <w:rPr>
          <w:rFonts w:hint="eastAsia" w:ascii="宋体" w:hAnsi="宋体"/>
          <w:sz w:val="21"/>
          <w:szCs w:val="21"/>
        </w:rPr>
        <w:t>⑶退货处理：乙方应退还甲方支付的合同款，同时应承担该货物的直接费用（运输、保险、检验、货款利息及银行手续费等）。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sz w:val="21"/>
          <w:szCs w:val="21"/>
        </w:rPr>
      </w:pPr>
      <w:r>
        <w:rPr>
          <w:rFonts w:hint="eastAsia" w:ascii="宋体" w:hAnsi="宋体"/>
          <w:sz w:val="21"/>
          <w:szCs w:val="21"/>
        </w:rPr>
        <w:t>3. 如在使用过程中发生质量问题，乙方在接到甲方通知后在6小时内到达甲方现场。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sz w:val="21"/>
          <w:szCs w:val="21"/>
        </w:rPr>
      </w:pPr>
      <w:r>
        <w:rPr>
          <w:rFonts w:hint="eastAsia" w:ascii="宋体" w:hAnsi="宋体"/>
          <w:sz w:val="21"/>
          <w:szCs w:val="21"/>
        </w:rPr>
        <w:t>4. 在质保期内，乙方应对货物出现的质量及安全问题负责处理解决并承担一切费用。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sz w:val="21"/>
          <w:szCs w:val="21"/>
        </w:rPr>
      </w:pPr>
      <w:r>
        <w:rPr>
          <w:rFonts w:hint="eastAsia" w:ascii="宋体" w:hAnsi="宋体" w:eastAsia="宋体" w:cs="Times New Roman"/>
          <w:sz w:val="21"/>
          <w:szCs w:val="21"/>
        </w:rPr>
        <w:t>5.上述的货物免费保修期为</w:t>
      </w:r>
      <w:r>
        <w:rPr>
          <w:rFonts w:hint="eastAsia" w:ascii="宋体" w:hAnsi="宋体" w:cs="Times New Roman"/>
          <w:sz w:val="21"/>
          <w:szCs w:val="21"/>
          <w:u w:val="single"/>
          <w:lang w:val="en-US" w:eastAsia="zh-CN"/>
        </w:rPr>
        <w:t>2</w:t>
      </w:r>
      <w:r>
        <w:rPr>
          <w:rFonts w:hint="eastAsia" w:ascii="宋体" w:hAnsi="宋体" w:eastAsia="宋体" w:cs="Times New Roman"/>
          <w:sz w:val="21"/>
          <w:szCs w:val="21"/>
        </w:rPr>
        <w:t>年，因人为因素出现的故障不在免费保修范围内。超过保修期的</w:t>
      </w:r>
      <w:r>
        <w:rPr>
          <w:rFonts w:hint="eastAsia" w:ascii="宋体" w:hAnsi="宋体" w:eastAsia="宋体" w:cs="Times New Roman"/>
          <w:sz w:val="21"/>
          <w:szCs w:val="21"/>
          <w:lang w:val="en-US" w:eastAsia="zh-CN"/>
        </w:rPr>
        <w:t>设施</w:t>
      </w:r>
      <w:r>
        <w:rPr>
          <w:rFonts w:hint="eastAsia" w:ascii="宋体" w:hAnsi="宋体" w:eastAsia="宋体" w:cs="Times New Roman"/>
          <w:sz w:val="21"/>
          <w:szCs w:val="21"/>
          <w:lang w:eastAsia="zh-CN"/>
        </w:rPr>
        <w:t>、</w:t>
      </w:r>
      <w:r>
        <w:rPr>
          <w:rFonts w:hint="eastAsia" w:ascii="宋体" w:hAnsi="宋体" w:eastAsia="宋体" w:cs="Times New Roman"/>
          <w:sz w:val="21"/>
          <w:szCs w:val="21"/>
        </w:rPr>
        <w:t>设备，终生维修，维修时只收部件成本费。</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6.</w:t>
      </w:r>
      <w:r>
        <w:rPr>
          <w:rFonts w:hint="eastAsia" w:ascii="宋体" w:hAnsi="宋体"/>
          <w:b/>
          <w:bCs/>
          <w:sz w:val="21"/>
          <w:szCs w:val="21"/>
        </w:rPr>
        <w:t>在质保期内，乙方</w:t>
      </w:r>
      <w:r>
        <w:rPr>
          <w:rFonts w:hint="eastAsia" w:ascii="宋体" w:hAnsi="宋体"/>
          <w:b/>
          <w:bCs/>
          <w:sz w:val="21"/>
          <w:szCs w:val="21"/>
          <w:lang w:val="en-US" w:eastAsia="zh-CN"/>
        </w:rPr>
        <w:t>不履行</w:t>
      </w:r>
      <w:r>
        <w:rPr>
          <w:rFonts w:hint="eastAsia" w:ascii="宋体" w:hAnsi="宋体" w:eastAsia="宋体" w:cs="Times New Roman"/>
          <w:b/>
          <w:bCs/>
          <w:sz w:val="21"/>
          <w:szCs w:val="21"/>
        </w:rPr>
        <w:t>保修</w:t>
      </w:r>
      <w:r>
        <w:rPr>
          <w:rFonts w:hint="eastAsia" w:ascii="宋体" w:hAnsi="宋体" w:eastAsia="宋体" w:cs="Times New Roman"/>
          <w:b/>
          <w:bCs/>
          <w:sz w:val="21"/>
          <w:szCs w:val="21"/>
          <w:lang w:val="en-US" w:eastAsia="zh-CN"/>
        </w:rPr>
        <w:t>义务或提出有条件、有偿履行的，甲方将向</w:t>
      </w:r>
      <w:r>
        <w:rPr>
          <w:rFonts w:hint="eastAsia" w:ascii="宋体" w:hAnsi="宋体" w:cs="Times New Roman"/>
          <w:b/>
          <w:bCs/>
          <w:sz w:val="21"/>
          <w:szCs w:val="21"/>
          <w:lang w:val="en-US" w:eastAsia="zh-CN"/>
        </w:rPr>
        <w:t>龙游县交通投资集团有限公司</w:t>
      </w:r>
      <w:r>
        <w:rPr>
          <w:rFonts w:hint="eastAsia" w:ascii="Times New Roman" w:hAnsi="Times New Roman" w:eastAsia="宋体" w:cs="Times New Roman"/>
          <w:b/>
          <w:bCs/>
          <w:kern w:val="0"/>
          <w:szCs w:val="21"/>
          <w:lang w:val="en-US" w:eastAsia="zh-CN"/>
        </w:rPr>
        <w:t>监管科通报，列入不良行为记录名单。</w:t>
      </w:r>
    </w:p>
    <w:bookmarkEnd w:id="6"/>
    <w:bookmarkEnd w:id="7"/>
    <w:bookmarkEnd w:id="8"/>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342" w:firstLineChars="162"/>
        <w:textAlignment w:val="auto"/>
        <w:rPr>
          <w:rFonts w:ascii="宋体" w:hAnsi="宋体"/>
          <w:b/>
          <w:sz w:val="21"/>
          <w:szCs w:val="21"/>
        </w:rPr>
      </w:pPr>
      <w:r>
        <w:rPr>
          <w:rFonts w:hint="eastAsia" w:ascii="宋体" w:hAnsi="宋体"/>
          <w:b/>
          <w:sz w:val="21"/>
          <w:szCs w:val="21"/>
        </w:rPr>
        <w:t>十、调试和验收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sz w:val="21"/>
          <w:szCs w:val="21"/>
        </w:rPr>
      </w:pPr>
      <w:r>
        <w:rPr>
          <w:rFonts w:hint="eastAsia" w:ascii="宋体" w:hAnsi="宋体"/>
          <w:sz w:val="21"/>
          <w:szCs w:val="21"/>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sz w:val="21"/>
          <w:szCs w:val="21"/>
        </w:rPr>
      </w:pPr>
      <w:r>
        <w:rPr>
          <w:rFonts w:hint="eastAsia" w:ascii="宋体" w:hAnsi="宋体"/>
          <w:sz w:val="21"/>
          <w:szCs w:val="21"/>
        </w:rPr>
        <w:t>2. 乙方交货前应对产品作出全面检查和对验收文件进行整理，并列出清单，作为甲方收货验收和使用的技术条件依据，检验的结果应随货物交甲方。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sz w:val="21"/>
          <w:szCs w:val="21"/>
        </w:rPr>
      </w:pPr>
      <w:r>
        <w:rPr>
          <w:rFonts w:hint="eastAsia" w:ascii="宋体" w:hAnsi="宋体"/>
          <w:sz w:val="21"/>
          <w:szCs w:val="21"/>
        </w:rPr>
        <w:t>3. 甲方对乙方提供的货物在使用前进行调试时，乙方需负责安装并培训甲方的使用操作人员，并协助甲方一起调试，直到符合技术要求，甲方才做最终验收。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sz w:val="21"/>
          <w:szCs w:val="21"/>
        </w:rPr>
      </w:pPr>
      <w:r>
        <w:rPr>
          <w:rFonts w:hint="eastAsia" w:ascii="宋体" w:hAnsi="宋体"/>
          <w:sz w:val="21"/>
          <w:szCs w:val="21"/>
        </w:rPr>
        <w:t xml:space="preserve">4. </w:t>
      </w:r>
      <w:r>
        <w:rPr>
          <w:rFonts w:ascii="Arial" w:hAnsi="Arial" w:cs="Arial"/>
        </w:rPr>
        <w:t>甲方自行或委托第三方机构进行最终履约验收并由其出具验收报告（含检测报告）</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sz w:val="21"/>
          <w:szCs w:val="21"/>
        </w:rPr>
      </w:pPr>
      <w:r>
        <w:rPr>
          <w:rFonts w:hint="eastAsia" w:ascii="宋体" w:hAnsi="宋体"/>
          <w:sz w:val="21"/>
          <w:szCs w:val="21"/>
        </w:rPr>
        <w:t>5. 验收时乙方必须在现场，验收完毕后作出验收结果报告；验收费用由乙方负责。</w:t>
      </w:r>
    </w:p>
    <w:p>
      <w:pPr>
        <w:keepNext w:val="0"/>
        <w:keepLines w:val="0"/>
        <w:pageBreakBefore w:val="0"/>
        <w:widowControl w:val="0"/>
        <w:kinsoku/>
        <w:wordWrap/>
        <w:overflowPunct/>
        <w:topLinePunct w:val="0"/>
        <w:autoSpaceDE/>
        <w:autoSpaceDN/>
        <w:bidi w:val="0"/>
        <w:adjustRightInd w:val="0"/>
        <w:snapToGrid w:val="0"/>
        <w:spacing w:line="360" w:lineRule="auto"/>
        <w:ind w:firstLine="211" w:firstLineChars="100"/>
        <w:textAlignment w:val="auto"/>
        <w:rPr>
          <w:rFonts w:ascii="宋体" w:hAnsi="宋体"/>
          <w:b/>
          <w:sz w:val="21"/>
          <w:szCs w:val="21"/>
        </w:rPr>
      </w:pPr>
      <w:r>
        <w:rPr>
          <w:rFonts w:hint="eastAsia" w:ascii="宋体" w:hAnsi="宋体"/>
          <w:b/>
          <w:sz w:val="21"/>
          <w:szCs w:val="21"/>
        </w:rPr>
        <w:t>十</w:t>
      </w:r>
      <w:r>
        <w:rPr>
          <w:rFonts w:hint="eastAsia" w:ascii="宋体" w:hAnsi="宋体"/>
          <w:b/>
          <w:sz w:val="21"/>
          <w:szCs w:val="21"/>
          <w:lang w:val="en-US" w:eastAsia="zh-CN"/>
        </w:rPr>
        <w:t>一</w:t>
      </w:r>
      <w:r>
        <w:rPr>
          <w:rFonts w:hint="eastAsia" w:ascii="宋体" w:hAnsi="宋体"/>
          <w:b/>
          <w:sz w:val="21"/>
          <w:szCs w:val="21"/>
        </w:rPr>
        <w:t>、货物包装、发运及运输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 w:val="21"/>
          <w:szCs w:val="21"/>
        </w:rPr>
      </w:pPr>
      <w:r>
        <w:rPr>
          <w:rFonts w:hint="eastAsia" w:ascii="宋体" w:hAnsi="宋体"/>
          <w:sz w:val="21"/>
          <w:szCs w:val="21"/>
        </w:rPr>
        <w:t>1. 乙方应在货物发运前对其进行满足运输距离、防潮、防震、防锈和防破损装卸等要求包装，以保证货物安全运达甲方指定地点。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 w:val="21"/>
          <w:szCs w:val="21"/>
        </w:rPr>
      </w:pPr>
      <w:r>
        <w:rPr>
          <w:rFonts w:hint="eastAsia" w:ascii="宋体" w:hAnsi="宋体"/>
          <w:sz w:val="21"/>
          <w:szCs w:val="21"/>
        </w:rPr>
        <w:t>2. 使用说明书、质量检验证明书、随配附件和工具以及清单一并附于货物内。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 w:val="21"/>
          <w:szCs w:val="21"/>
        </w:rPr>
      </w:pPr>
      <w:r>
        <w:rPr>
          <w:rFonts w:hint="eastAsia" w:ascii="宋体" w:hAnsi="宋体"/>
          <w:sz w:val="21"/>
          <w:szCs w:val="21"/>
        </w:rPr>
        <w:t>3. 货物在交付甲方前发生的风险均由乙方负责。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 w:val="21"/>
          <w:szCs w:val="21"/>
        </w:rPr>
      </w:pPr>
      <w:r>
        <w:rPr>
          <w:rFonts w:hint="eastAsia" w:ascii="宋体" w:hAnsi="宋体"/>
          <w:sz w:val="21"/>
          <w:szCs w:val="21"/>
        </w:rPr>
        <w:t>4. 货物在规定的交付期限内由乙方送达甲方指定的地点视为交付，乙方同时需通知甲方货物已送达。</w:t>
      </w:r>
    </w:p>
    <w:p>
      <w:pPr>
        <w:keepNext w:val="0"/>
        <w:keepLines w:val="0"/>
        <w:pageBreakBefore w:val="0"/>
        <w:widowControl w:val="0"/>
        <w:kinsoku/>
        <w:wordWrap/>
        <w:overflowPunct/>
        <w:topLinePunct w:val="0"/>
        <w:autoSpaceDE/>
        <w:autoSpaceDN/>
        <w:bidi w:val="0"/>
        <w:adjustRightInd w:val="0"/>
        <w:snapToGrid w:val="0"/>
        <w:spacing w:line="360" w:lineRule="auto"/>
        <w:ind w:firstLine="211" w:firstLineChars="100"/>
        <w:textAlignment w:val="auto"/>
        <w:rPr>
          <w:rFonts w:ascii="宋体" w:hAnsi="宋体"/>
          <w:b/>
          <w:sz w:val="21"/>
          <w:szCs w:val="21"/>
        </w:rPr>
      </w:pPr>
      <w:r>
        <w:rPr>
          <w:rFonts w:hint="eastAsia" w:ascii="宋体" w:hAnsi="宋体"/>
          <w:b/>
          <w:sz w:val="21"/>
          <w:szCs w:val="21"/>
        </w:rPr>
        <w:t>十</w:t>
      </w:r>
      <w:r>
        <w:rPr>
          <w:rFonts w:hint="eastAsia" w:ascii="宋体" w:hAnsi="宋体"/>
          <w:b/>
          <w:sz w:val="21"/>
          <w:szCs w:val="21"/>
          <w:lang w:val="en-US" w:eastAsia="zh-CN"/>
        </w:rPr>
        <w:t>二</w:t>
      </w:r>
      <w:r>
        <w:rPr>
          <w:rFonts w:hint="eastAsia" w:ascii="宋体" w:hAnsi="宋体"/>
          <w:b/>
          <w:sz w:val="21"/>
          <w:szCs w:val="21"/>
        </w:rPr>
        <w:t>、违约责任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sz w:val="21"/>
          <w:szCs w:val="21"/>
        </w:rPr>
      </w:pPr>
      <w:r>
        <w:rPr>
          <w:rFonts w:hint="eastAsia" w:ascii="宋体" w:hAnsi="宋体" w:eastAsia="宋体" w:cs="Times New Roman"/>
          <w:sz w:val="21"/>
          <w:szCs w:val="21"/>
        </w:rPr>
        <w:t>1.甲方违约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sz w:val="21"/>
          <w:szCs w:val="21"/>
        </w:rPr>
      </w:pPr>
      <w:r>
        <w:rPr>
          <w:rFonts w:hint="eastAsia" w:ascii="宋体" w:hAnsi="宋体" w:eastAsia="宋体" w:cs="Times New Roman"/>
          <w:sz w:val="21"/>
          <w:szCs w:val="21"/>
        </w:rPr>
        <w:t>1.1甲方无正当理由拒绝验收或者逾期验收项目的，约定的验收期限届满后甲方应向乙方支付拒绝或逾期验收合同金额每日6‰的违约金，逾期超过10个工作日的，乙方有权单方面解除合同，同时有权要求甲方另外向乙方支付合同总价10%的违约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sz w:val="21"/>
          <w:szCs w:val="21"/>
        </w:rPr>
      </w:pPr>
      <w:r>
        <w:rPr>
          <w:rFonts w:hint="eastAsia" w:ascii="宋体" w:hAnsi="宋体" w:eastAsia="宋体" w:cs="Times New Roman"/>
          <w:sz w:val="21"/>
          <w:szCs w:val="21"/>
        </w:rPr>
        <w:t>1.2甲方无故逾期办理合同款项支付手续的，甲方应按逾期付款总额每日0.5‰向乙方支付违约金。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sz w:val="21"/>
          <w:szCs w:val="21"/>
        </w:rPr>
      </w:pPr>
      <w:r>
        <w:rPr>
          <w:rFonts w:hint="eastAsia" w:ascii="宋体" w:hAnsi="宋体" w:eastAsia="宋体" w:cs="Times New Roman"/>
          <w:sz w:val="21"/>
          <w:szCs w:val="21"/>
        </w:rPr>
        <w:t>2.乙方违约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sz w:val="21"/>
          <w:szCs w:val="21"/>
        </w:rPr>
      </w:pPr>
      <w:r>
        <w:rPr>
          <w:rFonts w:hint="eastAsia" w:ascii="宋体" w:hAnsi="宋体" w:eastAsia="宋体" w:cs="Times New Roman"/>
          <w:sz w:val="21"/>
          <w:szCs w:val="21"/>
        </w:rPr>
        <w:t>2.1乙方单方面表示不履行合同的，或可以预见乙方不履行合同的，甲方可以单方解除合同，乙方应全额返还甲方已付价款，并支付合同总价款20%的违约金。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sz w:val="21"/>
          <w:szCs w:val="21"/>
        </w:rPr>
      </w:pPr>
      <w:r>
        <w:rPr>
          <w:rFonts w:hint="eastAsia" w:ascii="宋体" w:hAnsi="宋体" w:eastAsia="宋体" w:cs="Times New Roman"/>
          <w:sz w:val="21"/>
          <w:szCs w:val="21"/>
        </w:rPr>
        <w:t>2.2乙方逾期交付货物的，乙方应按逾期交付项目总额每日6‰向甲方支付违约金，由甲方从合同款项中扣除。逾期超过10个工作日不能交付的，甲方可单方面解除本合同，乙方应另外向甲方支付合同总值10%的违约金，如造成甲方损失超过违约金的，超出部分由乙方继续承担赔偿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sz w:val="21"/>
          <w:szCs w:val="21"/>
        </w:rPr>
      </w:pPr>
      <w:r>
        <w:rPr>
          <w:rFonts w:hint="eastAsia" w:ascii="宋体" w:hAnsi="宋体" w:eastAsia="宋体" w:cs="Times New Roman"/>
          <w:sz w:val="21"/>
          <w:szCs w:val="21"/>
        </w:rPr>
        <w:t>2.3乙方所交的货物品种、型号、规格、技术参数、质量不符合合同规定及招标文件规定标准的，甲方有权拒收该货物，乙方愿意更换货物但逾期交货的，按乙方逾期交货处理。乙方拒绝更换货物的，甲方可单方面解除合同，乙方应向甲方支付合同总值10%的违约金，如造成甲方损失超过违约金的，超出部分由乙方继续承担赔偿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sz w:val="21"/>
          <w:szCs w:val="21"/>
        </w:rPr>
      </w:pPr>
      <w:r>
        <w:rPr>
          <w:rFonts w:hint="eastAsia" w:ascii="宋体" w:hAnsi="宋体" w:eastAsia="宋体" w:cs="Times New Roman"/>
          <w:sz w:val="21"/>
          <w:szCs w:val="21"/>
        </w:rPr>
        <w:t>2.4乙方所交付的货物，在约定的有效期内违反本合同有关质量保证及售后服务的，甲方可要求乙方按照合同规定的标准退换合格货物，对已造成的损失从合同款项中扣除。若乙方退换后的货物仍不符合合同标准，甲方可单方面解除合同，乙方应全额返还甲方已付价款，并支付总价款10%的违约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imes New Roman"/>
          <w:sz w:val="21"/>
          <w:szCs w:val="21"/>
        </w:rPr>
      </w:pPr>
      <w:r>
        <w:rPr>
          <w:rFonts w:hint="eastAsia" w:ascii="宋体" w:hAnsi="宋体" w:eastAsia="宋体" w:cs="Times New Roman"/>
          <w:sz w:val="21"/>
          <w:szCs w:val="21"/>
        </w:rPr>
        <w:t>3.出现合同中未曾约定的其他违约情形，则双方严格执行《</w:t>
      </w:r>
      <w:r>
        <w:rPr>
          <w:rFonts w:hint="eastAsia" w:ascii="宋体" w:hAnsi="宋体" w:eastAsia="宋体" w:cs="Times New Roman"/>
          <w:sz w:val="21"/>
          <w:szCs w:val="21"/>
          <w:lang w:eastAsia="zh-CN"/>
        </w:rPr>
        <w:t>民法典</w:t>
      </w:r>
      <w:r>
        <w:rPr>
          <w:rFonts w:hint="eastAsia" w:ascii="宋体" w:hAnsi="宋体" w:eastAsia="宋体" w:cs="Times New Roman"/>
          <w:sz w:val="21"/>
          <w:szCs w:val="21"/>
        </w:rPr>
        <w:t>》的有关违约责任规定。</w:t>
      </w:r>
    </w:p>
    <w:p>
      <w:pPr>
        <w:keepNext w:val="0"/>
        <w:keepLines w:val="0"/>
        <w:pageBreakBefore w:val="0"/>
        <w:widowControl w:val="0"/>
        <w:kinsoku/>
        <w:wordWrap/>
        <w:overflowPunct/>
        <w:topLinePunct w:val="0"/>
        <w:autoSpaceDE/>
        <w:autoSpaceDN/>
        <w:bidi w:val="0"/>
        <w:adjustRightInd w:val="0"/>
        <w:snapToGrid w:val="0"/>
        <w:spacing w:line="360" w:lineRule="auto"/>
        <w:ind w:firstLine="211" w:firstLineChars="100"/>
        <w:textAlignment w:val="auto"/>
        <w:rPr>
          <w:rFonts w:ascii="宋体" w:hAnsi="宋体" w:cs="宋体"/>
          <w:b/>
          <w:bCs/>
          <w:sz w:val="21"/>
          <w:szCs w:val="21"/>
        </w:rPr>
      </w:pPr>
      <w:r>
        <w:rPr>
          <w:rFonts w:hint="eastAsia" w:ascii="宋体" w:hAnsi="宋体" w:cs="宋体"/>
          <w:b/>
          <w:bCs/>
          <w:sz w:val="21"/>
          <w:szCs w:val="21"/>
        </w:rPr>
        <w:t>十</w:t>
      </w:r>
      <w:r>
        <w:rPr>
          <w:rFonts w:hint="eastAsia" w:ascii="宋体" w:hAnsi="宋体" w:cs="宋体"/>
          <w:b/>
          <w:bCs/>
          <w:sz w:val="21"/>
          <w:szCs w:val="21"/>
          <w:lang w:val="en-US" w:eastAsia="zh-CN"/>
        </w:rPr>
        <w:t>三</w:t>
      </w:r>
      <w:r>
        <w:rPr>
          <w:rFonts w:hint="eastAsia" w:ascii="宋体" w:hAnsi="宋体" w:cs="宋体"/>
          <w:b/>
          <w:bCs/>
          <w:sz w:val="21"/>
          <w:szCs w:val="21"/>
        </w:rPr>
        <w:t>、不可抗力事件处理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 w:val="21"/>
          <w:szCs w:val="21"/>
        </w:rPr>
      </w:pPr>
      <w:r>
        <w:rPr>
          <w:rFonts w:hint="eastAsia" w:ascii="宋体" w:hAnsi="宋体"/>
          <w:sz w:val="21"/>
          <w:szCs w:val="21"/>
        </w:rPr>
        <w:t>1. 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 w:val="21"/>
          <w:szCs w:val="21"/>
        </w:rPr>
      </w:pPr>
      <w:r>
        <w:rPr>
          <w:rFonts w:hint="eastAsia" w:ascii="宋体" w:hAnsi="宋体"/>
          <w:sz w:val="21"/>
          <w:szCs w:val="21"/>
        </w:rPr>
        <w:t>2. 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 w:val="21"/>
          <w:szCs w:val="21"/>
        </w:rPr>
      </w:pPr>
      <w:r>
        <w:rPr>
          <w:rFonts w:hint="eastAsia" w:ascii="宋体" w:hAnsi="宋体"/>
          <w:sz w:val="21"/>
          <w:szCs w:val="21"/>
        </w:rPr>
        <w:t>3. 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
          <w:bCs/>
          <w:color w:val="000000"/>
          <w:sz w:val="21"/>
          <w:szCs w:val="21"/>
        </w:rPr>
      </w:pPr>
      <w:r>
        <w:rPr>
          <w:rFonts w:hint="eastAsia" w:ascii="宋体" w:hAnsi="宋体" w:cs="宋体"/>
          <w:b/>
          <w:bCs/>
          <w:color w:val="000000"/>
          <w:sz w:val="21"/>
          <w:szCs w:val="21"/>
        </w:rPr>
        <w:t>十</w:t>
      </w:r>
      <w:r>
        <w:rPr>
          <w:rFonts w:hint="eastAsia" w:ascii="宋体" w:hAnsi="宋体" w:cs="宋体"/>
          <w:b/>
          <w:bCs/>
          <w:color w:val="000000"/>
          <w:sz w:val="21"/>
          <w:szCs w:val="21"/>
          <w:lang w:val="en-US" w:eastAsia="zh-CN"/>
        </w:rPr>
        <w:t>四</w:t>
      </w:r>
      <w:r>
        <w:rPr>
          <w:rFonts w:hint="eastAsia" w:ascii="宋体" w:hAnsi="宋体" w:cs="宋体"/>
          <w:b/>
          <w:bCs/>
          <w:color w:val="000000"/>
          <w:sz w:val="21"/>
          <w:szCs w:val="21"/>
        </w:rPr>
        <w:t>、诉讼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 w:val="21"/>
          <w:szCs w:val="21"/>
        </w:rPr>
      </w:pPr>
      <w:r>
        <w:rPr>
          <w:rFonts w:hint="eastAsia" w:ascii="宋体" w:hAnsi="宋体"/>
          <w:sz w:val="21"/>
          <w:szCs w:val="21"/>
        </w:rPr>
        <w:t>双方在执行合同中所发生的一切争议，应通过协商解决。如协商不成，可向甲方所在地法院起诉。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000000"/>
          <w:sz w:val="21"/>
          <w:szCs w:val="21"/>
        </w:rPr>
      </w:pPr>
      <w:r>
        <w:rPr>
          <w:rFonts w:hint="eastAsia" w:ascii="宋体" w:hAnsi="宋体" w:cs="宋体"/>
          <w:b/>
          <w:bCs/>
          <w:color w:val="000000"/>
          <w:sz w:val="21"/>
          <w:szCs w:val="21"/>
        </w:rPr>
        <w:t>十</w:t>
      </w:r>
      <w:r>
        <w:rPr>
          <w:rFonts w:hint="eastAsia" w:ascii="宋体" w:hAnsi="宋体" w:cs="宋体"/>
          <w:b/>
          <w:bCs/>
          <w:color w:val="000000"/>
          <w:sz w:val="21"/>
          <w:szCs w:val="21"/>
          <w:lang w:val="en-US" w:eastAsia="zh-CN"/>
        </w:rPr>
        <w:t>五</w:t>
      </w:r>
      <w:r>
        <w:rPr>
          <w:rFonts w:hint="eastAsia" w:ascii="宋体" w:hAnsi="宋体" w:cs="宋体"/>
          <w:b/>
          <w:bCs/>
          <w:color w:val="000000"/>
          <w:sz w:val="21"/>
          <w:szCs w:val="21"/>
        </w:rPr>
        <w:t>、合同生效及其它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 w:val="21"/>
          <w:szCs w:val="21"/>
        </w:rPr>
      </w:pPr>
      <w:r>
        <w:rPr>
          <w:rFonts w:hint="eastAsia" w:ascii="宋体" w:hAnsi="宋体"/>
          <w:sz w:val="21"/>
          <w:szCs w:val="21"/>
          <w:lang w:val="en-US" w:eastAsia="zh-CN"/>
        </w:rPr>
        <w:t>1</w:t>
      </w:r>
      <w:r>
        <w:rPr>
          <w:rFonts w:hint="eastAsia" w:ascii="宋体" w:hAnsi="宋体"/>
          <w:sz w:val="21"/>
          <w:szCs w:val="21"/>
        </w:rPr>
        <w:t>. 合同执行中涉及采购资金和采购内容修改或补充的，须经主管部门审批，并签书面补充协议，方可作为主合同不可分割的一部分。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 w:val="21"/>
          <w:szCs w:val="21"/>
        </w:rPr>
      </w:pPr>
      <w:r>
        <w:rPr>
          <w:rFonts w:hint="eastAsia" w:ascii="宋体" w:hAnsi="宋体"/>
          <w:sz w:val="21"/>
          <w:szCs w:val="21"/>
          <w:lang w:val="en-US" w:eastAsia="zh-CN"/>
        </w:rPr>
        <w:t>2</w:t>
      </w:r>
      <w:r>
        <w:rPr>
          <w:rFonts w:hint="eastAsia" w:ascii="宋体" w:hAnsi="宋体"/>
          <w:sz w:val="21"/>
          <w:szCs w:val="21"/>
        </w:rPr>
        <w:t>. 本合同未尽事宜，遵照《民法典》有关条文执行。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sz w:val="21"/>
          <w:szCs w:val="21"/>
        </w:rPr>
      </w:pPr>
      <w:r>
        <w:rPr>
          <w:rFonts w:hint="eastAsia" w:ascii="宋体" w:hAnsi="宋体"/>
          <w:sz w:val="21"/>
          <w:szCs w:val="21"/>
          <w:lang w:val="en-US" w:eastAsia="zh-CN"/>
        </w:rPr>
        <w:t>3</w:t>
      </w:r>
      <w:r>
        <w:rPr>
          <w:rFonts w:hint="eastAsia" w:ascii="宋体" w:hAnsi="宋体"/>
          <w:sz w:val="21"/>
          <w:szCs w:val="21"/>
        </w:rPr>
        <w:t>. 本合同经甲方、乙方法定代表人或其委托人签字并加盖双方公章后生效。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.本合同</w:t>
      </w:r>
      <w:r>
        <w:rPr>
          <w:rFonts w:hint="eastAsia" w:ascii="宋体" w:hAnsi="宋体"/>
          <w:sz w:val="21"/>
          <w:szCs w:val="21"/>
          <w:lang w:val="en-US" w:eastAsia="zh-CN"/>
        </w:rPr>
        <w:t xml:space="preserve"> </w:t>
      </w:r>
      <w:r>
        <w:rPr>
          <w:rFonts w:hint="eastAsia" w:ascii="宋体" w:hAnsi="宋体"/>
          <w:sz w:val="21"/>
          <w:szCs w:val="21"/>
        </w:rPr>
        <w:t>一式</w:t>
      </w:r>
      <w:r>
        <w:rPr>
          <w:rFonts w:hint="eastAsia" w:ascii="宋体" w:hAnsi="宋体"/>
          <w:sz w:val="21"/>
          <w:szCs w:val="21"/>
          <w:lang w:val="en-US" w:eastAsia="zh-CN"/>
        </w:rPr>
        <w:t>伍</w:t>
      </w:r>
      <w:r>
        <w:rPr>
          <w:rFonts w:hint="eastAsia" w:ascii="宋体" w:hAnsi="宋体"/>
          <w:sz w:val="21"/>
          <w:szCs w:val="21"/>
        </w:rPr>
        <w:t>份，具有同等法律效力，甲乙双方各执</w:t>
      </w:r>
      <w:r>
        <w:rPr>
          <w:rFonts w:hint="eastAsia" w:ascii="宋体" w:hAnsi="宋体"/>
          <w:sz w:val="21"/>
          <w:szCs w:val="21"/>
          <w:lang w:val="en-US" w:eastAsia="zh-CN"/>
        </w:rPr>
        <w:t>壹</w:t>
      </w:r>
      <w:r>
        <w:rPr>
          <w:rFonts w:hint="eastAsia" w:ascii="宋体" w:hAnsi="宋体"/>
          <w:sz w:val="21"/>
          <w:szCs w:val="21"/>
        </w:rPr>
        <w:t>份；</w:t>
      </w:r>
      <w:r>
        <w:rPr>
          <w:rFonts w:hint="eastAsia" w:ascii="宋体" w:hAnsi="宋体"/>
          <w:sz w:val="21"/>
          <w:szCs w:val="21"/>
          <w:lang w:val="en-US" w:eastAsia="zh-CN"/>
        </w:rPr>
        <w:t>项目部及</w:t>
      </w:r>
      <w:r>
        <w:rPr>
          <w:rFonts w:hint="eastAsia" w:ascii="宋体" w:hAnsi="宋体"/>
          <w:sz w:val="21"/>
          <w:szCs w:val="21"/>
          <w:lang w:eastAsia="zh-CN"/>
        </w:rPr>
        <w:t>相关部门</w:t>
      </w:r>
      <w:r>
        <w:rPr>
          <w:rFonts w:hint="eastAsia" w:ascii="宋体" w:hAnsi="宋体"/>
          <w:sz w:val="21"/>
          <w:szCs w:val="21"/>
          <w:lang w:val="en-US" w:eastAsia="zh-CN"/>
        </w:rPr>
        <w:t>各壹</w:t>
      </w:r>
      <w:r>
        <w:rPr>
          <w:rFonts w:hint="eastAsia" w:ascii="宋体" w:hAnsi="宋体"/>
          <w:sz w:val="21"/>
          <w:szCs w:val="21"/>
        </w:rPr>
        <w:t>份。</w:t>
      </w:r>
    </w:p>
    <w:p>
      <w:pPr>
        <w:pStyle w:val="8"/>
        <w:snapToGrid w:val="0"/>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乙方：</w:t>
      </w:r>
    </w:p>
    <w:p>
      <w:pPr>
        <w:pStyle w:val="8"/>
        <w:snapToGrid w:val="0"/>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地址：</w:t>
      </w:r>
    </w:p>
    <w:p>
      <w:pPr>
        <w:pStyle w:val="8"/>
        <w:snapToGrid w:val="0"/>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法定（授权）代表人：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法定（授权）代表人：</w:t>
      </w:r>
    </w:p>
    <w:p>
      <w:pPr>
        <w:pStyle w:val="8"/>
        <w:snapToGrid w:val="0"/>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签订地点：</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签字日期：年月日</w:t>
      </w:r>
    </w:p>
    <w:p>
      <w:pPr>
        <w:pStyle w:val="8"/>
        <w:snapToGrid w:val="0"/>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p>
    <w:p>
      <w:pPr>
        <w:pStyle w:val="8"/>
        <w:snapToGrid w:val="0"/>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开户银行：</w:t>
      </w:r>
    </w:p>
    <w:p>
      <w:pPr>
        <w:pStyle w:val="8"/>
        <w:snapToGrid w:val="0"/>
        <w:spacing w:line="46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账号：</w:t>
      </w:r>
    </w:p>
    <w:p>
      <w:pPr>
        <w:pStyle w:val="8"/>
        <w:snapToGrid w:val="0"/>
        <w:spacing w:line="460" w:lineRule="exact"/>
        <w:ind w:firstLine="480"/>
        <w:rPr>
          <w:rFonts w:hint="eastAsia" w:ascii="宋体" w:hAnsi="宋体" w:eastAsia="宋体" w:cs="宋体"/>
          <w:color w:val="auto"/>
          <w:sz w:val="21"/>
          <w:szCs w:val="21"/>
          <w:highlight w:val="none"/>
        </w:rPr>
      </w:pPr>
    </w:p>
    <w:p>
      <w:pPr>
        <w:rPr>
          <w:rFonts w:hint="eastAsia" w:ascii="宋体" w:hAnsi="宋体"/>
          <w:color w:val="auto"/>
          <w:szCs w:val="21"/>
          <w:highlight w:val="none"/>
        </w:rPr>
      </w:pPr>
    </w:p>
    <w:bookmarkEnd w:id="3"/>
    <w:bookmarkEnd w:id="4"/>
    <w:bookmarkEnd w:id="5"/>
    <w:p/>
    <w:sectPr>
      <w:footerReference r:id="rId3" w:type="default"/>
      <w:pgSz w:w="11906" w:h="16838"/>
      <w:pgMar w:top="1383" w:right="1576" w:bottom="1383" w:left="1633"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3736EE"/>
    <w:rsid w:val="22032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60" w:lineRule="auto"/>
      <w:jc w:val="center"/>
      <w:outlineLvl w:val="0"/>
    </w:pPr>
    <w:rPr>
      <w:b/>
      <w:color w:val="000000"/>
      <w:sz w:val="32"/>
    </w:rPr>
  </w:style>
  <w:style w:type="paragraph" w:styleId="2">
    <w:name w:val="heading 2"/>
    <w:basedOn w:val="1"/>
    <w:next w:val="1"/>
    <w:qFormat/>
    <w:uiPriority w:val="0"/>
    <w:pPr>
      <w:keepNext/>
      <w:keepLines/>
      <w:spacing w:line="360" w:lineRule="auto"/>
      <w:ind w:firstLine="200" w:firstLineChars="200"/>
      <w:outlineLvl w:val="1"/>
    </w:pPr>
    <w:rPr>
      <w:rFonts w:ascii="Arial" w:hAnsi="Arial"/>
      <w:b/>
      <w:bCs/>
      <w:szCs w:val="32"/>
    </w:rPr>
  </w:style>
  <w:style w:type="paragraph" w:styleId="4">
    <w:name w:val="heading 3"/>
    <w:basedOn w:val="1"/>
    <w:next w:val="1"/>
    <w:qFormat/>
    <w:uiPriority w:val="0"/>
    <w:pPr>
      <w:widowControl/>
      <w:autoSpaceDE w:val="0"/>
      <w:autoSpaceDN w:val="0"/>
      <w:spacing w:before="120" w:beforeLines="0" w:after="120" w:afterLines="0" w:line="300" w:lineRule="auto"/>
      <w:outlineLvl w:val="2"/>
    </w:pPr>
    <w:rPr>
      <w:sz w:val="24"/>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afterLines="0"/>
    </w:pPr>
  </w:style>
  <w:style w:type="paragraph" w:styleId="6">
    <w:name w:val="Body Text First Indent"/>
    <w:basedOn w:val="5"/>
    <w:next w:val="7"/>
    <w:qFormat/>
    <w:uiPriority w:val="0"/>
    <w:pPr>
      <w:ind w:firstLine="420" w:firstLineChars="100"/>
    </w:pPr>
  </w:style>
  <w:style w:type="paragraph" w:styleId="7">
    <w:name w:val="toc 6"/>
    <w:basedOn w:val="1"/>
    <w:next w:val="1"/>
    <w:qFormat/>
    <w:uiPriority w:val="0"/>
    <w:pPr>
      <w:ind w:left="1050"/>
      <w:jc w:val="left"/>
    </w:pPr>
    <w:rPr>
      <w:sz w:val="18"/>
      <w:szCs w:val="18"/>
    </w:rPr>
  </w:style>
  <w:style w:type="paragraph" w:styleId="8">
    <w:name w:val="Plain Text"/>
    <w:basedOn w:val="1"/>
    <w:next w:val="5"/>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标准中文版式_正文"/>
    <w:basedOn w:val="1"/>
    <w:qFormat/>
    <w:uiPriority w:val="99"/>
    <w:pPr>
      <w:spacing w:before="30"/>
      <w:ind w:firstLine="200" w:firstLineChars="200"/>
    </w:pPr>
    <w:rPr>
      <w:rFonts w:ascii="Arial" w:hAnsi="Arial"/>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2025-05-23T06:01:00Z</dcterms:created>
  <dc:creator>Administrator</dc:creator>
  <cp:lastModifiedBy>Administrator</cp:lastModifiedBy>
  <dcterms:modified xsi:type="dcterms:W3CDTF">2025-05-23T06:34:33Z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