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562"/>
        <w:jc w:val="center"/>
        <w:rPr>
          <w:rFonts w:ascii="宋体" w:hAnsi="宋体" w:eastAsia="宋体" w:cs="宋体"/>
          <w:b/>
          <w:bCs/>
          <w:sz w:val="28"/>
          <w:szCs w:val="28"/>
        </w:rPr>
      </w:pPr>
      <w:r>
        <w:rPr>
          <w:rFonts w:hint="eastAsia" w:ascii="宋体" w:hAnsi="宋体" w:eastAsia="宋体" w:cs="宋体"/>
          <w:b w:val="0"/>
          <w:bCs/>
          <w:sz w:val="36"/>
          <w:szCs w:val="36"/>
          <w:lang w:val="en-US" w:eastAsia="zh-CN"/>
        </w:rPr>
        <w:t>320国道龙游童家至平山桥段公路工程TJ-02标段（测量仪器）采购项目</w:t>
      </w:r>
    </w:p>
    <w:p>
      <w:pPr>
        <w:ind w:firstLine="0" w:firstLineChars="0"/>
        <w:rPr>
          <w:rFonts w:ascii="宋体" w:hAnsi="宋体" w:eastAsia="宋体" w:cs="宋体"/>
          <w:b/>
          <w:bCs/>
          <w:sz w:val="28"/>
          <w:szCs w:val="28"/>
        </w:rPr>
      </w:pPr>
    </w:p>
    <w:p>
      <w:pPr>
        <w:pStyle w:val="3"/>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2528640"/>
      <w:bookmarkStart w:id="3" w:name="_Toc457974261"/>
      <w:bookmarkStart w:id="4" w:name="_Toc476833084"/>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6"/>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24110"/>
      <w:bookmarkStart w:id="12" w:name="_Toc30475"/>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8523"/>
      <w:bookmarkStart w:id="14" w:name="_Toc24509"/>
      <w:bookmarkStart w:id="15" w:name="_Toc8248"/>
      <w:bookmarkStart w:id="16" w:name="_Toc7489"/>
      <w:bookmarkStart w:id="17" w:name="_Toc22511"/>
      <w:bookmarkStart w:id="18" w:name="_Toc2294"/>
      <w:bookmarkStart w:id="19" w:name="_Toc24773"/>
      <w:bookmarkStart w:id="20" w:name="_Toc24470"/>
      <w:bookmarkStart w:id="21" w:name="_Toc29092"/>
      <w:bookmarkStart w:id="22" w:name="_Toc17218"/>
      <w:bookmarkStart w:id="23" w:name="_Toc2628"/>
      <w:bookmarkStart w:id="24" w:name="_Toc8486"/>
      <w:r>
        <w:rPr>
          <w:rFonts w:hint="eastAsia" w:ascii="宋体" w:hAnsi="宋体" w:cs="宋体"/>
          <w:b/>
          <w:sz w:val="28"/>
          <w:szCs w:val="28"/>
        </w:rPr>
        <w:br w:type="page"/>
      </w:r>
    </w:p>
    <w:p>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10"/>
        <w:snapToGrid w:val="0"/>
        <w:spacing w:line="240" w:lineRule="auto"/>
        <w:ind w:firstLine="0" w:firstLineChars="0"/>
        <w:jc w:val="right"/>
        <w:outlineLvl w:val="0"/>
        <w:rPr>
          <w:rFonts w:hint="eastAsia" w:hAnsi="宋体" w:cs="宋体"/>
          <w:bCs/>
          <w:sz w:val="28"/>
          <w:szCs w:val="28"/>
        </w:rPr>
      </w:pPr>
      <w:bookmarkStart w:id="25" w:name="_Toc4388"/>
      <w:bookmarkStart w:id="26" w:name="_Toc4401"/>
      <w:bookmarkStart w:id="27" w:name="_Toc6374"/>
      <w:bookmarkStart w:id="28" w:name="_Toc8745"/>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5"/>
        <w:ind w:firstLine="480"/>
        <w:rPr>
          <w:rFonts w:hint="eastAsia" w:ascii="宋体" w:hAnsi="宋体" w:cs="宋体"/>
        </w:rPr>
      </w:pPr>
    </w:p>
    <w:p>
      <w:pPr>
        <w:pStyle w:val="17"/>
        <w:ind w:firstLine="480"/>
        <w:rPr>
          <w:rFonts w:hint="eastAsia" w:ascii="宋体" w:hAnsi="宋体" w:cs="宋体"/>
        </w:rPr>
      </w:pPr>
    </w:p>
    <w:p>
      <w:pPr>
        <w:pStyle w:val="9"/>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6"/>
        <w:ind w:left="0" w:leftChars="0" w:firstLine="0" w:firstLineChars="0"/>
        <w:rPr>
          <w:rFonts w:hint="eastAsia" w:ascii="宋体" w:hAnsi="宋体" w:cs="宋体"/>
        </w:rPr>
      </w:pPr>
    </w:p>
    <w:p>
      <w:pPr>
        <w:pStyle w:val="7"/>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5"/>
        <w:ind w:firstLine="480"/>
        <w:jc w:val="center"/>
        <w:rPr>
          <w:rFonts w:hint="eastAsia" w:ascii="宋体" w:hAnsi="宋体" w:cs="宋体"/>
        </w:rPr>
      </w:pPr>
      <w:r>
        <w:rPr>
          <w:rFonts w:hint="eastAsia" w:ascii="宋体" w:hAnsi="宋体" w:cs="宋体"/>
        </w:rPr>
        <w:t xml:space="preserve"> </w:t>
      </w:r>
    </w:p>
    <w:p>
      <w:pPr>
        <w:spacing w:line="480" w:lineRule="auto"/>
        <w:ind w:left="960" w:leftChars="199" w:hanging="482" w:hangingChars="172"/>
        <w:jc w:val="center"/>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20485"/>
      <w:bookmarkStart w:id="30" w:name="_Toc32497"/>
      <w:bookmarkStart w:id="31" w:name="_Toc1509"/>
      <w:bookmarkStart w:id="32" w:name="_Toc17696"/>
      <w:bookmarkStart w:id="33" w:name="_Toc32607"/>
      <w:bookmarkStart w:id="34" w:name="_Toc20414"/>
      <w:bookmarkStart w:id="35" w:name="_Toc7949"/>
      <w:bookmarkStart w:id="36" w:name="_Toc10016"/>
      <w:bookmarkStart w:id="37" w:name="_Toc28771"/>
      <w:bookmarkStart w:id="38" w:name="_Toc32403"/>
      <w:bookmarkStart w:id="39" w:name="_Toc29642"/>
      <w:bookmarkStart w:id="40" w:name="_Toc31217"/>
      <w:bookmarkStart w:id="41" w:name="_Toc19153"/>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31986"/>
      <w:bookmarkStart w:id="43" w:name="_Toc4731"/>
      <w:bookmarkStart w:id="44" w:name="_Toc15163"/>
      <w:bookmarkStart w:id="45" w:name="_Toc9714"/>
      <w:bookmarkStart w:id="46" w:name="_Toc30704"/>
      <w:bookmarkStart w:id="47" w:name="_Toc31392"/>
      <w:bookmarkStart w:id="48" w:name="_Toc10469"/>
      <w:bookmarkStart w:id="49" w:name="_Toc18462"/>
      <w:bookmarkStart w:id="50" w:name="_Toc13599"/>
      <w:bookmarkStart w:id="51" w:name="_Toc22168"/>
      <w:bookmarkStart w:id="52" w:name="_Toc15681"/>
      <w:bookmarkStart w:id="53" w:name="_Toc19977"/>
      <w:bookmarkStart w:id="54" w:name="_Toc28396"/>
      <w:r>
        <w:rPr>
          <w:rFonts w:hint="eastAsia" w:ascii="宋体" w:hAnsi="宋体" w:eastAsia="Times New Roman" w:cs="宋体"/>
          <w:b/>
          <w:color w:val="000000"/>
          <w:spacing w:val="0"/>
          <w:w w:val="100"/>
          <w:position w:val="0"/>
          <w:sz w:val="28"/>
          <w:szCs w:val="28"/>
          <w:u w:val="single"/>
          <w:shd w:val="clear" w:color="auto" w:fill="auto"/>
          <w:lang w:val="en-US" w:eastAsia="zh-CN" w:bidi="en-US"/>
        </w:rPr>
        <w:t>320国道龙游童家至平山桥段公路工程TJ-02标段</w:t>
      </w:r>
    </w:p>
    <w:p>
      <w:pPr>
        <w:spacing w:line="480" w:lineRule="auto"/>
        <w:ind w:left="960" w:leftChars="199" w:hanging="482" w:hangingChars="172"/>
        <w:jc w:val="center"/>
        <w:rPr>
          <w:rFonts w:hint="eastAsia" w:ascii="宋体" w:hAnsi="宋体" w:eastAsia="Times New Roman" w:cs="宋体"/>
          <w:b/>
          <w:color w:val="000000"/>
          <w:spacing w:val="0"/>
          <w:w w:val="100"/>
          <w:position w:val="0"/>
          <w:sz w:val="28"/>
          <w:szCs w:val="28"/>
          <w:u w:val="single"/>
          <w:shd w:val="clear" w:color="auto" w:fill="auto"/>
          <w:lang w:val="en-US" w:eastAsia="zh-CN" w:bidi="en-US"/>
        </w:rPr>
      </w:pPr>
      <w:r>
        <w:rPr>
          <w:rFonts w:hint="eastAsia" w:ascii="宋体" w:hAnsi="宋体" w:eastAsia="Times New Roman" w:cs="宋体"/>
          <w:b/>
          <w:color w:val="000000"/>
          <w:spacing w:val="0"/>
          <w:w w:val="100"/>
          <w:position w:val="0"/>
          <w:sz w:val="28"/>
          <w:szCs w:val="28"/>
          <w:u w:val="single"/>
          <w:shd w:val="clear" w:color="auto" w:fill="auto"/>
          <w:lang w:val="en-US" w:eastAsia="zh-CN" w:bidi="en-US"/>
        </w:rPr>
        <w:t>（测量仪器）采购项目</w:t>
      </w:r>
    </w:p>
    <w:p>
      <w:pPr>
        <w:pStyle w:val="3"/>
        <w:spacing w:line="480" w:lineRule="auto"/>
        <w:ind w:left="1235" w:leftChars="199" w:hanging="757" w:hangingChars="172"/>
        <w:rPr>
          <w:rFonts w:hint="eastAsia"/>
          <w:lang w:val="en-US" w:eastAsia="zh-CN"/>
        </w:rPr>
      </w:pPr>
    </w:p>
    <w:p>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snapToGrid w:val="0"/>
        <w:spacing w:line="480" w:lineRule="auto"/>
        <w:ind w:left="958" w:leftChars="315" w:hanging="202" w:hangingChars="72"/>
        <w:outlineLvl w:val="0"/>
        <w:rPr>
          <w:rFonts w:hint="eastAsia" w:hAnsi="宋体" w:cs="宋体"/>
          <w:b/>
          <w:sz w:val="28"/>
          <w:szCs w:val="28"/>
        </w:rPr>
      </w:pPr>
      <w:bookmarkStart w:id="55" w:name="_Toc31830"/>
      <w:bookmarkStart w:id="56" w:name="_Toc20157"/>
      <w:bookmarkStart w:id="57" w:name="_Toc32540"/>
      <w:bookmarkStart w:id="58" w:name="_Toc6674"/>
      <w:bookmarkStart w:id="59" w:name="_Toc7173"/>
      <w:bookmarkStart w:id="60" w:name="_Toc20850"/>
      <w:bookmarkStart w:id="61" w:name="_Toc20882"/>
      <w:bookmarkStart w:id="62" w:name="_Toc31610"/>
      <w:bookmarkStart w:id="63" w:name="_Toc11345"/>
      <w:bookmarkStart w:id="64" w:name="_Toc5859"/>
      <w:bookmarkStart w:id="65" w:name="_Toc7766"/>
      <w:bookmarkStart w:id="66" w:name="_Toc30044"/>
      <w:bookmarkStart w:id="67" w:name="_Toc32674"/>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16334"/>
      <w:bookmarkStart w:id="69" w:name="_Toc22679"/>
      <w:bookmarkStart w:id="70" w:name="_Toc19385"/>
      <w:bookmarkStart w:id="71" w:name="_Toc12664"/>
      <w:bookmarkStart w:id="72" w:name="_Toc17199"/>
      <w:bookmarkStart w:id="73" w:name="_Toc4755"/>
      <w:bookmarkStart w:id="74" w:name="_Toc10695"/>
      <w:bookmarkStart w:id="75" w:name="_Toc13885"/>
      <w:bookmarkStart w:id="76" w:name="_Toc20744"/>
      <w:bookmarkStart w:id="77" w:name="_Toc29141"/>
      <w:bookmarkStart w:id="78" w:name="_Toc3830"/>
      <w:bookmarkStart w:id="79" w:name="_Toc12542"/>
      <w:bookmarkStart w:id="80" w:name="_Toc9109"/>
    </w:p>
    <w:p>
      <w:pPr>
        <w:pStyle w:val="10"/>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rPr>
          <w:rFonts w:hint="eastAsia" w:hAnsi="宋体" w:cs="宋体"/>
          <w:b/>
          <w:sz w:val="28"/>
          <w:szCs w:val="28"/>
        </w:rPr>
      </w:pPr>
    </w:p>
    <w:p>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询 价 </w:t>
      </w:r>
      <w:r>
        <w:rPr>
          <w:rFonts w:hint="eastAsia" w:ascii="宋体" w:hAnsi="宋体" w:eastAsia="宋体" w:cs="宋体"/>
          <w:b/>
          <w:bCs/>
          <w:sz w:val="44"/>
          <w:szCs w:val="44"/>
          <w:lang w:val="en-US" w:eastAsia="zh-CN"/>
        </w:rPr>
        <w:t xml:space="preserve">承 诺 </w:t>
      </w:r>
      <w:r>
        <w:rPr>
          <w:rFonts w:hint="eastAsia" w:ascii="宋体" w:hAnsi="宋体" w:eastAsia="宋体" w:cs="宋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致（采购人）：</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shd w:val="clear" w:color="auto" w:fill="auto"/>
        <w:bidi w:val="0"/>
        <w:spacing w:line="240" w:lineRule="auto"/>
        <w:jc w:val="both"/>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2"/>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2"/>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（二）特定资质要求复制件（如需）</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5"/>
        <w:spacing w:before="11"/>
        <w:rPr>
          <w:color w:val="000000" w:themeColor="text1"/>
          <w:sz w:val="20"/>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5865"/>
      <w:bookmarkStart w:id="82" w:name="_Toc8237"/>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rPr>
          <w:rFonts w:hAnsi="宋体"/>
          <w:color w:val="000000" w:themeColor="text1"/>
          <w:highlight w:val="none"/>
          <w:u w:val="single"/>
          <w14:textFill>
            <w14:solidFill>
              <w14:schemeClr w14:val="tx1"/>
            </w14:solidFill>
          </w14:textFill>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采购人</w:t>
      </w:r>
      <w:r>
        <w:rPr>
          <w:rFonts w:hint="eastAsia" w:ascii="宋体" w:hAnsi="宋体" w:eastAsia="宋体" w:cs="宋体"/>
          <w:sz w:val="24"/>
          <w:szCs w:val="24"/>
          <w:u w:val="single"/>
          <w:lang w:eastAsia="zh-CN"/>
        </w:rPr>
        <w:t>）</w:t>
      </w:r>
      <w:r>
        <w:rPr>
          <w:rFonts w:hint="eastAsia" w:hAnsi="宋体"/>
          <w:color w:val="000000" w:themeColor="text1"/>
          <w:highlight w:val="none"/>
          <w:u w:val="single"/>
          <w14:textFill>
            <w14:solidFill>
              <w14:schemeClr w14:val="tx1"/>
            </w14:solidFill>
          </w14:textFill>
        </w:rPr>
        <w:t>：</w:t>
      </w:r>
    </w:p>
    <w:p>
      <w:pPr>
        <w:pStyle w:val="10"/>
        <w:adjustRightIn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8"/>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2"/>
        <w:ind w:left="0" w:leftChars="0" w:firstLine="0" w:firstLineChars="0"/>
        <w:rPr>
          <w:color w:val="000000" w:themeColor="text1"/>
          <w:highlight w:val="none"/>
          <w14:textFill>
            <w14:solidFill>
              <w14:schemeClr w14:val="tx1"/>
            </w14:solidFill>
          </w14:textFill>
        </w:rPr>
      </w:pPr>
    </w:p>
    <w:p>
      <w:pPr>
        <w:pStyle w:val="22"/>
        <w:ind w:left="0" w:leftChars="0" w:firstLine="0" w:firstLineChars="0"/>
        <w:rPr>
          <w:color w:val="000000" w:themeColor="text1"/>
          <w:highlight w:val="none"/>
          <w14:textFill>
            <w14:solidFill>
              <w14:schemeClr w14:val="tx1"/>
            </w14:solidFill>
          </w14:textFill>
        </w:rPr>
      </w:pPr>
    </w:p>
    <w:p>
      <w:pPr>
        <w:pStyle w:val="10"/>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8924"/>
      <w:bookmarkStart w:id="84" w:name="_Toc3010"/>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活动中的一切事宜。我单位承认全权代表做出的与本项目招投标活动有关的全部行为。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jc w:val="center"/>
        <w:rPr>
          <w:rFonts w:hint="eastAsia"/>
        </w:rPr>
      </w:pPr>
      <w:r>
        <w:rPr>
          <w:rFonts w:hint="eastAsia"/>
          <w:sz w:val="36"/>
          <w:szCs w:val="44"/>
        </w:rPr>
        <w:t>报 价 函</w:t>
      </w:r>
    </w:p>
    <w:p>
      <w:pPr>
        <w:jc w:val="both"/>
        <w:rPr>
          <w:rFonts w:hint="eastAsia" w:asciiTheme="minorEastAsia" w:hAnsiTheme="minorEastAsia" w:eastAsiaTheme="minorEastAsia" w:cstheme="minorEastAsia"/>
          <w:sz w:val="21"/>
          <w:szCs w:val="21"/>
          <w:lang w:val="en-US" w:eastAsia="zh-CN"/>
        </w:rPr>
      </w:pPr>
      <w:r>
        <w:rPr>
          <w:rFonts w:hint="eastAsia" w:eastAsia="宋体"/>
          <w:lang w:val="en-US" w:eastAsia="zh-CN"/>
        </w:rPr>
        <w:t>项目名称：</w:t>
      </w:r>
      <w:r>
        <w:rPr>
          <w:rFonts w:hint="eastAsia" w:asciiTheme="minorEastAsia" w:hAnsiTheme="minorEastAsia" w:eastAsiaTheme="minorEastAsia" w:cstheme="minorEastAsia"/>
          <w:sz w:val="21"/>
          <w:szCs w:val="21"/>
          <w:lang w:val="en-US" w:eastAsia="zh-CN"/>
        </w:rPr>
        <w:t>320国道龙游童家至平山桥段公路工程TJ-02标段（测量仪器）采购项目</w:t>
      </w:r>
    </w:p>
    <w:p>
      <w:pPr>
        <w:pStyle w:val="3"/>
        <w:jc w:val="right"/>
        <w:rPr>
          <w:rFonts w:hint="default" w:asciiTheme="minorEastAsia" w:hAnsiTheme="minorEastAsia" w:eastAsiaTheme="minorEastAsia" w:cstheme="minorEastAsia"/>
          <w:b w:val="0"/>
          <w:bCs w:val="0"/>
          <w:color w:val="000000"/>
          <w:spacing w:val="0"/>
          <w:w w:val="100"/>
          <w:kern w:val="0"/>
          <w:position w:val="0"/>
          <w:sz w:val="21"/>
          <w:szCs w:val="21"/>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1"/>
          <w:szCs w:val="21"/>
          <w:shd w:val="clear" w:color="auto" w:fill="auto"/>
          <w:lang w:val="en-US" w:eastAsia="zh-CN" w:bidi="en-US"/>
        </w:rPr>
        <w:t>（价格单位：元人民币）</w:t>
      </w:r>
    </w:p>
    <w:tbl>
      <w:tblPr>
        <w:tblStyle w:val="13"/>
        <w:tblpPr w:leftFromText="180" w:rightFromText="180" w:vertAnchor="text" w:horzAnchor="page" w:tblpX="981" w:tblpY="76"/>
        <w:tblOverlap w:val="never"/>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25"/>
        <w:gridCol w:w="2625"/>
        <w:gridCol w:w="937"/>
        <w:gridCol w:w="1063"/>
        <w:gridCol w:w="887"/>
        <w:gridCol w:w="921"/>
        <w:gridCol w:w="94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0" w:type="dxa"/>
            <w:tcBorders>
              <w:tl2br w:val="nil"/>
              <w:tr2bl w:val="nil"/>
            </w:tcBorders>
            <w:noWrap w:val="0"/>
            <w:vAlign w:val="center"/>
          </w:tcPr>
          <w:p>
            <w:pPr>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序号</w:t>
            </w:r>
          </w:p>
        </w:tc>
        <w:tc>
          <w:tcPr>
            <w:tcW w:w="1025" w:type="dxa"/>
            <w:tcBorders>
              <w:tl2br w:val="nil"/>
              <w:tr2bl w:val="nil"/>
            </w:tcBorders>
            <w:noWrap w:val="0"/>
            <w:vAlign w:val="center"/>
          </w:tcPr>
          <w:p>
            <w:pPr>
              <w:widowControl/>
              <w:ind w:firstLine="0" w:firstLineChars="0"/>
              <w:jc w:val="center"/>
              <w:textAlignment w:val="bottom"/>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产品名称</w:t>
            </w:r>
          </w:p>
        </w:tc>
        <w:tc>
          <w:tcPr>
            <w:tcW w:w="2625" w:type="dxa"/>
            <w:tcBorders>
              <w:tl2br w:val="nil"/>
              <w:tr2bl w:val="nil"/>
            </w:tcBorders>
            <w:noWrap w:val="0"/>
            <w:vAlign w:val="center"/>
          </w:tcPr>
          <w:p>
            <w:pPr>
              <w:widowControl/>
              <w:ind w:firstLine="0" w:firstLineChars="0"/>
              <w:jc w:val="center"/>
              <w:textAlignment w:val="bottom"/>
              <w:rPr>
                <w:rFonts w:hint="eastAsia"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color w:val="000000"/>
                <w:sz w:val="24"/>
                <w:szCs w:val="24"/>
                <w:lang w:val="en-US" w:eastAsia="zh-CN"/>
              </w:rPr>
              <w:t>规格、型号</w:t>
            </w:r>
          </w:p>
        </w:tc>
        <w:tc>
          <w:tcPr>
            <w:tcW w:w="937" w:type="dxa"/>
            <w:tcBorders>
              <w:tl2br w:val="nil"/>
              <w:tr2bl w:val="nil"/>
            </w:tcBorders>
            <w:noWrap w:val="0"/>
            <w:vAlign w:val="center"/>
          </w:tcPr>
          <w:p>
            <w:pPr>
              <w:adjustRightInd w:val="0"/>
              <w:snapToGrid w:val="0"/>
              <w:ind w:firstLine="0" w:firstLineChars="0"/>
              <w:jc w:val="center"/>
              <w:rPr>
                <w:rFonts w:hint="eastAsia"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color w:val="000000"/>
                <w:sz w:val="24"/>
                <w:szCs w:val="24"/>
                <w:lang w:val="en-US" w:eastAsia="zh-CN"/>
              </w:rPr>
              <w:t>数量</w:t>
            </w:r>
          </w:p>
        </w:tc>
        <w:tc>
          <w:tcPr>
            <w:tcW w:w="1063" w:type="dxa"/>
            <w:tcBorders>
              <w:tl2br w:val="nil"/>
              <w:tr2bl w:val="nil"/>
            </w:tcBorders>
            <w:noWrap w:val="0"/>
            <w:vAlign w:val="center"/>
          </w:tcPr>
          <w:p>
            <w:pPr>
              <w:adjustRightInd w:val="0"/>
              <w:snapToGrid w:val="0"/>
              <w:ind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单位</w:t>
            </w:r>
          </w:p>
        </w:tc>
        <w:tc>
          <w:tcPr>
            <w:tcW w:w="887" w:type="dxa"/>
            <w:tcBorders>
              <w:tl2br w:val="nil"/>
              <w:tr2bl w:val="nil"/>
            </w:tcBorders>
            <w:noWrap w:val="0"/>
            <w:vAlign w:val="center"/>
          </w:tcPr>
          <w:p>
            <w:pPr>
              <w:adjustRightInd w:val="0"/>
              <w:snapToGrid w:val="0"/>
              <w:ind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单价</w:t>
            </w:r>
          </w:p>
        </w:tc>
        <w:tc>
          <w:tcPr>
            <w:tcW w:w="921" w:type="dxa"/>
            <w:tcBorders>
              <w:tl2br w:val="nil"/>
              <w:tr2bl w:val="nil"/>
            </w:tcBorders>
            <w:noWrap w:val="0"/>
            <w:vAlign w:val="center"/>
          </w:tcPr>
          <w:p>
            <w:pPr>
              <w:adjustRightInd w:val="0"/>
              <w:snapToGrid w:val="0"/>
              <w:ind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小计</w:t>
            </w:r>
          </w:p>
        </w:tc>
        <w:tc>
          <w:tcPr>
            <w:tcW w:w="948" w:type="dxa"/>
            <w:tcBorders>
              <w:tl2br w:val="nil"/>
              <w:tr2bl w:val="nil"/>
            </w:tcBorders>
            <w:noWrap w:val="0"/>
            <w:vAlign w:val="center"/>
          </w:tcPr>
          <w:p>
            <w:pPr>
              <w:adjustRightInd w:val="0"/>
              <w:snapToGrid w:val="0"/>
              <w:ind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品牌</w:t>
            </w:r>
          </w:p>
        </w:tc>
        <w:tc>
          <w:tcPr>
            <w:tcW w:w="1203" w:type="dxa"/>
            <w:tcBorders>
              <w:tl2br w:val="nil"/>
              <w:tr2bl w:val="nil"/>
            </w:tcBorders>
            <w:noWrap w:val="0"/>
            <w:vAlign w:val="center"/>
          </w:tcPr>
          <w:p>
            <w:pPr>
              <w:adjustRightInd w:val="0"/>
              <w:snapToGrid w:val="0"/>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00"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025"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RTK</w:t>
            </w:r>
          </w:p>
        </w:tc>
        <w:tc>
          <w:tcPr>
            <w:tcW w:w="2625" w:type="dxa"/>
            <w:tcBorders>
              <w:tl2br w:val="nil"/>
              <w:tr2bl w:val="nil"/>
            </w:tcBorders>
            <w:noWrap w:val="0"/>
            <w:vAlign w:val="center"/>
          </w:tcPr>
          <w:p>
            <w:pPr>
              <w:shd w:val="clear" w:color="auto" w:fill="auto"/>
              <w:snapToGrid w:val="0"/>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eastAsia="zh-CN"/>
              </w:rPr>
              <w:t>华测i89（五星二十一频），含内置GPS永久账号。</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sz w:val="21"/>
                <w:szCs w:val="21"/>
                <w:lang w:eastAsia="zh-CN"/>
              </w:rPr>
              <w:t>主机，脚架，对中杆支架，对中杆，棱镜大包</w:t>
            </w:r>
            <w:r>
              <w:rPr>
                <w:rFonts w:hint="eastAsia" w:asciiTheme="minorEastAsia" w:hAnsiTheme="minorEastAsia" w:eastAsiaTheme="minorEastAsia" w:cstheme="minorEastAsia"/>
                <w:sz w:val="21"/>
                <w:szCs w:val="21"/>
                <w:lang w:val="en-US" w:eastAsia="zh-CN"/>
              </w:rPr>
              <w:t>等</w:t>
            </w:r>
          </w:p>
        </w:tc>
        <w:tc>
          <w:tcPr>
            <w:tcW w:w="93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063"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8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921"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bookmarkStart w:id="85" w:name="_GoBack"/>
            <w:bookmarkEnd w:id="85"/>
          </w:p>
        </w:tc>
        <w:tc>
          <w:tcPr>
            <w:tcW w:w="948"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1203" w:type="dxa"/>
            <w:vMerge w:val="restart"/>
            <w:tcBorders>
              <w:tl2br w:val="nil"/>
              <w:tr2bl w:val="nil"/>
            </w:tcBorders>
            <w:noWrap w:val="0"/>
            <w:vAlign w:val="center"/>
          </w:tcPr>
          <w:p>
            <w:pPr>
              <w:snapToGrid w:val="0"/>
              <w:ind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000000"/>
                <w:spacing w:val="0"/>
                <w:w w:val="100"/>
                <w:kern w:val="0"/>
                <w:position w:val="0"/>
                <w:sz w:val="24"/>
                <w:szCs w:val="24"/>
                <w:shd w:val="clear" w:color="auto" w:fill="auto"/>
                <w:lang w:val="en-US" w:eastAsia="zh-CN" w:bidi="en-US"/>
              </w:rPr>
              <w:t>合同签订后5个日历天（具体时间节点以采购人通知为准）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0"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025"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全站仪</w:t>
            </w:r>
          </w:p>
        </w:tc>
        <w:tc>
          <w:tcPr>
            <w:tcW w:w="2625"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南方362R10（国产）</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sz w:val="21"/>
                <w:szCs w:val="21"/>
                <w:lang w:eastAsia="zh-CN"/>
              </w:rPr>
              <w:t>主机，脚架，对中杆支架，对中杆，棱镜大包</w:t>
            </w:r>
            <w:r>
              <w:rPr>
                <w:rFonts w:hint="eastAsia" w:asciiTheme="minorEastAsia" w:hAnsiTheme="minorEastAsia" w:eastAsiaTheme="minorEastAsia" w:cstheme="minorEastAsia"/>
                <w:sz w:val="21"/>
                <w:szCs w:val="21"/>
                <w:lang w:val="en-US" w:eastAsia="zh-CN"/>
              </w:rPr>
              <w:t>等</w:t>
            </w:r>
          </w:p>
        </w:tc>
        <w:tc>
          <w:tcPr>
            <w:tcW w:w="93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063"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8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921"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948"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1203" w:type="dxa"/>
            <w:vMerge w:val="continue"/>
            <w:tcBorders>
              <w:tl2br w:val="nil"/>
              <w:tr2bl w:val="nil"/>
            </w:tcBorders>
            <w:noWrap w:val="0"/>
            <w:vAlign w:val="center"/>
          </w:tcPr>
          <w:p>
            <w:pPr>
              <w:snapToGrid w:val="0"/>
              <w:ind w:firstLine="0" w:firstLineChars="0"/>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00"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025"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水准仪</w:t>
            </w:r>
          </w:p>
        </w:tc>
        <w:tc>
          <w:tcPr>
            <w:tcW w:w="2625" w:type="dxa"/>
            <w:tcBorders>
              <w:tl2br w:val="nil"/>
              <w:tr2bl w:val="nil"/>
            </w:tcBorders>
            <w:noWrap w:val="0"/>
            <w:vAlign w:val="center"/>
          </w:tcPr>
          <w:p>
            <w:pPr>
              <w:shd w:val="clear" w:color="auto" w:fill="auto"/>
              <w:snapToGrid w:val="0"/>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中纬，</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sz w:val="21"/>
                <w:szCs w:val="21"/>
                <w:lang w:eastAsia="zh-CN"/>
              </w:rPr>
              <w:t>主机，塔尺，脚架</w:t>
            </w:r>
            <w:r>
              <w:rPr>
                <w:rFonts w:hint="eastAsia" w:asciiTheme="minorEastAsia" w:hAnsiTheme="minorEastAsia" w:eastAsiaTheme="minorEastAsia" w:cstheme="minorEastAsia"/>
                <w:sz w:val="21"/>
                <w:szCs w:val="21"/>
                <w:lang w:val="en-US" w:eastAsia="zh-CN"/>
              </w:rPr>
              <w:t>等</w:t>
            </w:r>
          </w:p>
        </w:tc>
        <w:tc>
          <w:tcPr>
            <w:tcW w:w="93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063"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87"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921"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948" w:type="dxa"/>
            <w:tcBorders>
              <w:tl2br w:val="nil"/>
              <w:tr2bl w:val="nil"/>
            </w:tcBorders>
            <w:noWrap w:val="0"/>
            <w:vAlign w:val="center"/>
          </w:tcPr>
          <w:p>
            <w:pPr>
              <w:shd w:val="clear" w:color="auto" w:fill="auto"/>
              <w:snapToGrid w:val="0"/>
              <w:ind w:firstLine="0" w:firstLineChars="0"/>
              <w:jc w:val="center"/>
              <w:rPr>
                <w:rFonts w:hint="eastAsia" w:asciiTheme="minorEastAsia" w:hAnsiTheme="minorEastAsia" w:eastAsiaTheme="minorEastAsia" w:cstheme="minorEastAsia"/>
                <w:sz w:val="24"/>
                <w:szCs w:val="24"/>
                <w:lang w:val="en-US" w:eastAsia="zh-CN"/>
              </w:rPr>
            </w:pPr>
          </w:p>
        </w:tc>
        <w:tc>
          <w:tcPr>
            <w:tcW w:w="1203" w:type="dxa"/>
            <w:vMerge w:val="continue"/>
            <w:tcBorders>
              <w:tl2br w:val="nil"/>
              <w:tr2bl w:val="nil"/>
            </w:tcBorders>
            <w:noWrap w:val="0"/>
            <w:vAlign w:val="center"/>
          </w:tcPr>
          <w:p>
            <w:pPr>
              <w:snapToGrid w:val="0"/>
              <w:ind w:firstLine="0" w:firstLineChars="0"/>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00" w:type="dxa"/>
            <w:tcBorders>
              <w:tl2br w:val="nil"/>
              <w:tr2bl w:val="nil"/>
            </w:tcBorders>
            <w:noWrap w:val="0"/>
            <w:vAlign w:val="center"/>
          </w:tcPr>
          <w:p>
            <w:pPr>
              <w:shd w:val="clear" w:color="auto" w:fill="auto"/>
              <w:snapToGrid w:val="0"/>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650" w:type="dxa"/>
            <w:gridSpan w:val="2"/>
            <w:tcBorders>
              <w:tl2br w:val="nil"/>
              <w:tr2bl w:val="nil"/>
            </w:tcBorders>
            <w:noWrap w:val="0"/>
            <w:vAlign w:val="center"/>
          </w:tcPr>
          <w:p>
            <w:pPr>
              <w:shd w:val="clear" w:color="auto" w:fill="auto"/>
              <w:snapToGrid w:val="0"/>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5959" w:type="dxa"/>
            <w:gridSpan w:val="6"/>
            <w:tcBorders>
              <w:tl2br w:val="nil"/>
              <w:tr2bl w:val="nil"/>
            </w:tcBorders>
            <w:noWrap w:val="0"/>
            <w:vAlign w:val="center"/>
          </w:tcPr>
          <w:p>
            <w:pPr>
              <w:snapToGrid w:val="0"/>
              <w:ind w:firstLine="0" w:firstLineChars="0"/>
              <w:jc w:val="both"/>
              <w:rPr>
                <w:rFonts w:hint="eastAsia" w:asciiTheme="minorEastAsia" w:hAnsiTheme="minorEastAsia" w:eastAsiaTheme="minorEastAsia" w:cstheme="minorEastAsia"/>
                <w:bCs/>
                <w:color w:val="auto"/>
                <w:sz w:val="24"/>
                <w:szCs w:val="24"/>
              </w:rPr>
            </w:pPr>
            <w:r>
              <w:rPr>
                <w:rFonts w:hint="default" w:ascii="Arial" w:hAnsi="Arial" w:cs="Arial" w:eastAsiaTheme="minorEastAsia"/>
                <w:bCs/>
                <w:color w:val="auto"/>
                <w:sz w:val="24"/>
                <w:szCs w:val="24"/>
              </w:rPr>
              <w:t>¥</w:t>
            </w:r>
          </w:p>
        </w:tc>
      </w:tr>
    </w:tbl>
    <w:p>
      <w:pPr>
        <w:numPr>
          <w:ilvl w:val="0"/>
          <w:numId w:val="1"/>
        </w:numPr>
        <w:spacing w:line="360" w:lineRule="auto"/>
        <w:ind w:right="-814" w:rightChars="-33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应为提供本次采购全包干价，报价应包括为完成本项目可能发生的全部费用及利润、税金等，包括且不限于设备费、</w:t>
      </w:r>
      <w:r>
        <w:rPr>
          <w:rFonts w:hint="eastAsia" w:ascii="宋体" w:hAnsi="宋体" w:eastAsia="宋体" w:cs="宋体"/>
          <w:color w:val="auto"/>
          <w:sz w:val="21"/>
          <w:szCs w:val="21"/>
          <w:highlight w:val="none"/>
        </w:rPr>
        <w:t>配件耗材、专用工具、包装、运输、装卸、保险、税金、货到就位以及安装、调试、培训、</w:t>
      </w:r>
      <w:r>
        <w:rPr>
          <w:rFonts w:hint="eastAsia" w:ascii="宋体" w:hAnsi="宋体" w:eastAsia="宋体" w:cs="宋体"/>
          <w:color w:val="auto"/>
          <w:sz w:val="21"/>
          <w:szCs w:val="21"/>
          <w:lang w:eastAsia="zh-CN"/>
        </w:rPr>
        <w:t>标定</w:t>
      </w:r>
      <w:r>
        <w:rPr>
          <w:rFonts w:hint="eastAsia" w:ascii="宋体" w:hAnsi="宋体" w:eastAsia="宋体" w:cs="宋体"/>
          <w:color w:val="auto"/>
          <w:sz w:val="21"/>
          <w:szCs w:val="21"/>
          <w:lang w:val="en-US" w:eastAsia="zh-CN"/>
        </w:rPr>
        <w:t>检测证书费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保修等一切</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如有漏项，视同已包含在其总项目中，合同总价不做调整;</w:t>
      </w:r>
    </w:p>
    <w:p>
      <w:pPr>
        <w:numPr>
          <w:ilvl w:val="0"/>
          <w:numId w:val="1"/>
        </w:numPr>
        <w:shd w:val="clear" w:color="auto" w:fill="auto"/>
        <w:spacing w:line="360" w:lineRule="auto"/>
        <w:ind w:right="-814" w:rightChars="-33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报价填写必须为印刷体打印，手写无效报价，不清楚或模糊等原因导致无法确认的，其报价无效;</w:t>
      </w:r>
    </w:p>
    <w:p>
      <w:pPr>
        <w:pStyle w:val="3"/>
        <w:jc w:val="both"/>
        <w:rPr>
          <w:rFonts w:hint="default" w:ascii="宋体" w:hAnsi="宋体" w:eastAsia="宋体" w:cs="宋体"/>
          <w:b w:val="0"/>
          <w:bCs w:val="0"/>
          <w:color w:val="auto"/>
          <w:spacing w:val="0"/>
          <w:w w:val="100"/>
          <w:kern w:val="0"/>
          <w:position w:val="0"/>
          <w:sz w:val="21"/>
          <w:szCs w:val="21"/>
          <w:highlight w:val="none"/>
          <w:shd w:val="clear" w:color="auto" w:fill="auto"/>
          <w:lang w:val="en-US" w:eastAsia="zh-CN" w:bidi="en-US"/>
        </w:rPr>
      </w:pPr>
      <w:r>
        <w:rPr>
          <w:rFonts w:hint="eastAsia" w:ascii="宋体" w:hAnsi="宋体" w:eastAsia="宋体" w:cs="宋体"/>
          <w:b w:val="0"/>
          <w:bCs w:val="0"/>
          <w:color w:val="auto"/>
          <w:spacing w:val="0"/>
          <w:w w:val="100"/>
          <w:kern w:val="0"/>
          <w:position w:val="0"/>
          <w:sz w:val="21"/>
          <w:szCs w:val="21"/>
          <w:highlight w:val="none"/>
          <w:shd w:val="clear" w:color="auto" w:fill="auto"/>
          <w:lang w:val="en-US" w:eastAsia="zh-CN" w:bidi="en-US"/>
        </w:rPr>
        <w:t>3.质保两年，其中6个月内有质量问题无条件更换</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供应商名称（盖章）：</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法定代表人或授权委托人（签字或盖章）：</w:t>
      </w:r>
    </w:p>
    <w:p>
      <w:pPr>
        <w:spacing w:line="360" w:lineRule="auto"/>
        <w:rPr>
          <w:rFonts w:hint="eastAsia" w:ascii="宋体" w:hAnsi="宋体" w:eastAsia="宋体" w:cs="宋体"/>
          <w:sz w:val="21"/>
          <w:szCs w:val="21"/>
        </w:rPr>
      </w:pPr>
      <w:r>
        <w:rPr>
          <w:rFonts w:hint="eastAsia" w:ascii="宋体" w:hAnsi="宋体" w:eastAsia="宋体" w:cs="宋体"/>
          <w:sz w:val="21"/>
          <w:szCs w:val="21"/>
        </w:rPr>
        <w:t>联系电话:</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p/>
    <w:sectPr>
      <w:footerReference r:id="rId5" w:type="default"/>
      <w:pgSz w:w="11906" w:h="16838"/>
      <w:pgMar w:top="1270"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6E87"/>
    <w:multiLevelType w:val="singleLevel"/>
    <w:tmpl w:val="81126E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75DB"/>
    <w:rsid w:val="13A55795"/>
    <w:rsid w:val="2815053C"/>
    <w:rsid w:val="32DD7215"/>
    <w:rsid w:val="3D2B722E"/>
    <w:rsid w:val="3FD57EFA"/>
    <w:rsid w:val="46D60387"/>
    <w:rsid w:val="571F463D"/>
    <w:rsid w:val="77CE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2025-05-23T07:42:12Z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